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r w:rsidR="00E25F91">
        <w:rPr>
          <w:szCs w:val="24"/>
        </w:rPr>
        <w:t>Д</w:t>
      </w:r>
      <w:r w:rsidRPr="00AA29D2">
        <w:rPr>
          <w:szCs w:val="24"/>
        </w:rPr>
        <w:t>иректор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E25F91">
        <w:rPr>
          <w:b w:val="0"/>
          <w:sz w:val="24"/>
          <w:szCs w:val="24"/>
        </w:rPr>
        <w:t xml:space="preserve">           </w:t>
      </w:r>
      <w:r w:rsidRPr="00AA29D2">
        <w:rPr>
          <w:b w:val="0"/>
          <w:sz w:val="24"/>
          <w:szCs w:val="24"/>
        </w:rPr>
        <w:t xml:space="preserve"> _________ </w:t>
      </w:r>
      <w:r w:rsidR="00E25F91">
        <w:rPr>
          <w:b w:val="0"/>
          <w:sz w:val="24"/>
          <w:szCs w:val="24"/>
        </w:rPr>
        <w:t>Т.Н. Кудрявцева</w:t>
      </w:r>
      <w:r w:rsidRPr="00AA29D2">
        <w:rPr>
          <w:b w:val="0"/>
          <w:sz w:val="24"/>
          <w:szCs w:val="24"/>
        </w:rPr>
        <w:t xml:space="preserve">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="00E25F91">
        <w:rPr>
          <w:b w:val="0"/>
          <w:sz w:val="24"/>
          <w:szCs w:val="24"/>
        </w:rPr>
        <w:t>__________20__</w:t>
      </w:r>
      <w:r w:rsidRPr="00AA29D2">
        <w:rPr>
          <w:b w:val="0"/>
          <w:sz w:val="24"/>
          <w:szCs w:val="24"/>
        </w:rPr>
        <w:t>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F40118">
        <w:rPr>
          <w:rFonts w:ascii="Times New Roman" w:hAnsi="Times New Roman"/>
          <w:b/>
          <w:sz w:val="28"/>
          <w:szCs w:val="28"/>
        </w:rPr>
        <w:t>35.02.08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F40118"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675C" w:rsidTr="00CA675C">
        <w:tc>
          <w:tcPr>
            <w:tcW w:w="4785" w:type="dxa"/>
          </w:tcPr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«СОГЛАСОВАНА с работодателем»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(должность, наименование предприятия)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(Ф. И. О., подпись)</w:t>
            </w:r>
          </w:p>
          <w:p w:rsidR="00CA675C" w:rsidRPr="00E25F91" w:rsidRDefault="00E2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«___» _____________ 20</w:t>
            </w:r>
            <w:r w:rsidR="00CA675C" w:rsidRPr="00E25F91">
              <w:rPr>
                <w:rFonts w:ascii="Times New Roman" w:hAnsi="Times New Roman"/>
                <w:sz w:val="22"/>
              </w:rPr>
              <w:t>__года</w:t>
            </w: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CA675C" w:rsidRPr="00E25F91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85" w:type="dxa"/>
          </w:tcPr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F40118">
        <w:rPr>
          <w:rFonts w:ascii="Times New Roman" w:hAnsi="Times New Roman"/>
          <w:sz w:val="24"/>
        </w:rPr>
        <w:t>35.02.08</w:t>
      </w:r>
      <w:r w:rsidRPr="00991727">
        <w:rPr>
          <w:rFonts w:ascii="Times New Roman" w:hAnsi="Times New Roman"/>
          <w:sz w:val="24"/>
        </w:rPr>
        <w:t xml:space="preserve"> </w:t>
      </w:r>
      <w:r w:rsidR="00F40118">
        <w:rPr>
          <w:rFonts w:ascii="Times New Roman" w:hAnsi="Times New Roman"/>
          <w:sz w:val="24"/>
        </w:rPr>
        <w:t>Электрификация и автоматизация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F40118">
        <w:rPr>
          <w:rFonts w:ascii="Times New Roman" w:hAnsi="Times New Roman"/>
          <w:sz w:val="24"/>
        </w:rPr>
        <w:t>35.02.08</w:t>
      </w:r>
      <w:r w:rsidRPr="00991727">
        <w:rPr>
          <w:rFonts w:ascii="Times New Roman" w:hAnsi="Times New Roman"/>
          <w:sz w:val="24"/>
        </w:rPr>
        <w:t xml:space="preserve"> </w:t>
      </w:r>
      <w:r w:rsidR="00F40118">
        <w:rPr>
          <w:rFonts w:ascii="Times New Roman" w:hAnsi="Times New Roman"/>
          <w:sz w:val="24"/>
        </w:rPr>
        <w:t>Электрификация и автоматизация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Рыбина В.В. – зам. директора по </w:t>
      </w:r>
      <w:proofErr w:type="spellStart"/>
      <w:r w:rsidR="00F07C12">
        <w:rPr>
          <w:rFonts w:ascii="Times New Roman" w:hAnsi="Times New Roman"/>
          <w:sz w:val="24"/>
        </w:rPr>
        <w:t>учебно</w:t>
      </w:r>
      <w:proofErr w:type="spellEnd"/>
      <w:r w:rsidR="00F07C12">
        <w:rPr>
          <w:rFonts w:ascii="Times New Roman" w:hAnsi="Times New Roman"/>
          <w:sz w:val="24"/>
        </w:rPr>
        <w:t xml:space="preserve"> – методической работе</w:t>
      </w:r>
    </w:p>
    <w:p w:rsidR="00E25F91" w:rsidRDefault="00F40118" w:rsidP="00E25F91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Гусева П.Л.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35.02.08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Электрификация и автоматизация сельского хозяйства</w:t>
      </w:r>
      <w:r w:rsidR="00E25F91">
        <w:rPr>
          <w:rFonts w:ascii="Times New Roman" w:hAnsi="Times New Roman"/>
          <w:sz w:val="24"/>
        </w:rPr>
        <w:t>, преподаватель дисциплин профессионального цикла</w:t>
      </w:r>
      <w:r w:rsidR="00E25F91" w:rsidRPr="00E25F91">
        <w:rPr>
          <w:rFonts w:ascii="Times New Roman" w:hAnsi="Times New Roman"/>
          <w:sz w:val="24"/>
        </w:rPr>
        <w:t xml:space="preserve"> </w:t>
      </w:r>
      <w:r w:rsidR="00E25F91">
        <w:rPr>
          <w:rFonts w:ascii="Times New Roman" w:hAnsi="Times New Roman"/>
          <w:sz w:val="24"/>
        </w:rPr>
        <w:t>и профессиональных модулей специальности 35.02.08</w:t>
      </w:r>
      <w:r w:rsidR="00E25F91" w:rsidRPr="00991727">
        <w:rPr>
          <w:rFonts w:ascii="Times New Roman" w:hAnsi="Times New Roman"/>
          <w:sz w:val="24"/>
        </w:rPr>
        <w:t xml:space="preserve"> </w:t>
      </w:r>
      <w:r w:rsidR="00E25F91">
        <w:rPr>
          <w:rFonts w:ascii="Times New Roman" w:hAnsi="Times New Roman"/>
          <w:sz w:val="24"/>
        </w:rPr>
        <w:t>Электрификация и автоматизация сельского хозяйства.</w:t>
      </w:r>
    </w:p>
    <w:p w:rsidR="00E25F91" w:rsidRDefault="00F40118" w:rsidP="00E25F91">
      <w:pPr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Окутина</w:t>
      </w:r>
      <w:proofErr w:type="spellEnd"/>
      <w:r>
        <w:rPr>
          <w:rFonts w:ascii="Times New Roman" w:hAnsi="Times New Roman"/>
          <w:sz w:val="24"/>
        </w:rPr>
        <w:t xml:space="preserve"> Н.А.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  <w:r w:rsidR="00E25F91" w:rsidRPr="00E25F91">
        <w:rPr>
          <w:rFonts w:ascii="Times New Roman" w:hAnsi="Times New Roman"/>
          <w:sz w:val="24"/>
        </w:rPr>
        <w:t xml:space="preserve"> </w:t>
      </w:r>
      <w:r w:rsidR="00E25F91">
        <w:rPr>
          <w:rFonts w:ascii="Times New Roman" w:hAnsi="Times New Roman"/>
          <w:sz w:val="24"/>
        </w:rPr>
        <w:t>и профессиональных модулей специальности 35.02.08</w:t>
      </w:r>
      <w:r w:rsidR="00E25F91" w:rsidRPr="00991727">
        <w:rPr>
          <w:rFonts w:ascii="Times New Roman" w:hAnsi="Times New Roman"/>
          <w:sz w:val="24"/>
        </w:rPr>
        <w:t xml:space="preserve"> </w:t>
      </w:r>
      <w:r w:rsidR="00E25F91">
        <w:rPr>
          <w:rFonts w:ascii="Times New Roman" w:hAnsi="Times New Roman"/>
          <w:sz w:val="24"/>
        </w:rPr>
        <w:t>Электрификация и автоматизация сельского хозяйства.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E25F91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40118">
        <w:rPr>
          <w:rFonts w:ascii="Times New Roman" w:hAnsi="Times New Roman"/>
        </w:rPr>
        <w:t>35.02.08</w:t>
      </w:r>
      <w:r w:rsidR="00C85610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F40118">
        <w:rPr>
          <w:rFonts w:ascii="Times New Roman" w:hAnsi="Times New Roman"/>
        </w:rPr>
        <w:t>35.02.08</w:t>
      </w:r>
      <w:r w:rsidR="00C85610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1.3.</w:t>
      </w:r>
      <w:r w:rsidR="00F40118">
        <w:rPr>
          <w:rFonts w:ascii="Times New Roman" w:hAnsi="Times New Roman"/>
          <w:b/>
        </w:rPr>
        <w:t xml:space="preserve">  </w:t>
      </w:r>
      <w:r w:rsidRPr="00C85610">
        <w:rPr>
          <w:rFonts w:ascii="Times New Roman" w:hAnsi="Times New Roman"/>
          <w:b/>
        </w:rPr>
        <w:t>Нормативная база разработки ФОС ГИА</w:t>
      </w:r>
    </w:p>
    <w:p w:rsidR="00E25F91" w:rsidRPr="00C85610" w:rsidRDefault="00E25F91" w:rsidP="00E25F91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E25F91" w:rsidRPr="00C85610" w:rsidRDefault="00F07C12" w:rsidP="00F07C12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E25F91"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E25F91" w:rsidRPr="00C85610" w:rsidRDefault="00F07C12" w:rsidP="00F07C12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E25F91"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="00E25F91"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="00E25F91"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="00E25F91"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="00E25F91"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E25F91" w:rsidRPr="00C85610">
        <w:rPr>
          <w:rFonts w:ascii="Times New Roman" w:eastAsia="Times New Roman" w:hAnsi="Times New Roman"/>
          <w:lang w:eastAsia="ru-RU"/>
        </w:rPr>
        <w:t>;</w:t>
      </w:r>
    </w:p>
    <w:p w:rsidR="00E25F91" w:rsidRPr="00C85610" w:rsidRDefault="00F07C12" w:rsidP="00F07C12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E25F91" w:rsidRPr="00C85610" w:rsidRDefault="00F07C12" w:rsidP="00F07C12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="00E25F91"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E25F91" w:rsidRPr="009D62F3" w:rsidRDefault="00F07C12" w:rsidP="00F07C12">
      <w:pPr>
        <w:pStyle w:val="13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5F91"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="00E25F91"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="00E25F91" w:rsidRPr="005A2147">
        <w:rPr>
          <w:sz w:val="24"/>
          <w:szCs w:val="24"/>
        </w:rPr>
        <w:softHyphen/>
        <w:t>ного образования» (</w:t>
      </w:r>
      <w:proofErr w:type="spellStart"/>
      <w:r w:rsidR="00E25F91" w:rsidRPr="005A2147">
        <w:rPr>
          <w:sz w:val="24"/>
          <w:szCs w:val="24"/>
        </w:rPr>
        <w:t>зарег</w:t>
      </w:r>
      <w:proofErr w:type="spellEnd"/>
      <w:r w:rsidR="00E25F91" w:rsidRPr="005A2147">
        <w:rPr>
          <w:sz w:val="24"/>
          <w:szCs w:val="24"/>
        </w:rPr>
        <w:t>. в Минюсте России 30.07.2013г. № 29200);</w:t>
      </w:r>
      <w:r w:rsidR="00E25F91" w:rsidRPr="00F338DE">
        <w:rPr>
          <w:color w:val="464C55"/>
          <w:shd w:val="clear" w:color="auto" w:fill="FFFFFF"/>
        </w:rPr>
        <w:t xml:space="preserve"> </w:t>
      </w:r>
      <w:r w:rsidR="00E25F91"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="00E25F91" w:rsidRPr="009D62F3">
        <w:rPr>
          <w:color w:val="22272F"/>
          <w:sz w:val="24"/>
          <w:szCs w:val="24"/>
          <w:shd w:val="clear" w:color="auto" w:fill="FFFFFF"/>
        </w:rPr>
        <w:t>ян</w:t>
      </w:r>
      <w:r w:rsidR="00E25F91"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="00E25F91"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E25F91" w:rsidRPr="00C85610" w:rsidRDefault="00E25F91" w:rsidP="00E25F91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ания и науки РФ от 7 мая 2014 г. № 457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35.02.08 Электрификация и автоматизация сельского хозяйства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";</w:t>
      </w:r>
    </w:p>
    <w:p w:rsidR="00627B9E" w:rsidRPr="00E25F91" w:rsidRDefault="00F07C12" w:rsidP="00F07C12">
      <w:pPr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F40118">
        <w:rPr>
          <w:rFonts w:ascii="Times New Roman" w:eastAsia="Times New Roman" w:hAnsi="Times New Roman"/>
          <w:lang w:eastAsia="ru-RU"/>
        </w:rPr>
        <w:t>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35.02.08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Электрификация и автоматизация сельского хозяйства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F40118" w:rsidRDefault="00627B9E" w:rsidP="00E25F91">
      <w:pPr>
        <w:pStyle w:val="a3"/>
        <w:numPr>
          <w:ilvl w:val="1"/>
          <w:numId w:val="2"/>
        </w:numPr>
        <w:ind w:right="-144"/>
        <w:rPr>
          <w:b/>
        </w:rPr>
      </w:pPr>
      <w:r w:rsidRPr="00F40118">
        <w:rPr>
          <w:b/>
        </w:rPr>
        <w:t>Результаты освоения основной профессиональной образовательной программы</w:t>
      </w:r>
    </w:p>
    <w:p w:rsidR="00F40118" w:rsidRDefault="00F40118" w:rsidP="00E25F91">
      <w:pPr>
        <w:pStyle w:val="a3"/>
        <w:ind w:right="-144"/>
        <w:rPr>
          <w:b/>
        </w:rPr>
      </w:pPr>
    </w:p>
    <w:p w:rsidR="00F40118" w:rsidRDefault="00F40118" w:rsidP="00E25F91">
      <w:pPr>
        <w:pStyle w:val="western"/>
        <w:spacing w:before="0" w:beforeAutospacing="0" w:after="0" w:afterAutospacing="0"/>
        <w:rPr>
          <w:color w:val="000000"/>
          <w:lang w:val="de-DE"/>
        </w:rPr>
      </w:pPr>
      <w:r>
        <w:rPr>
          <w:color w:val="000000"/>
          <w:lang w:val="de-DE"/>
        </w:rPr>
        <w:tab/>
      </w:r>
      <w:proofErr w:type="spellStart"/>
      <w:r w:rsidRPr="007E32FD">
        <w:rPr>
          <w:color w:val="000000"/>
          <w:lang w:val="de-DE"/>
        </w:rPr>
        <w:t>Техник-электрик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должен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обладать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профессиональными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компетенциями</w:t>
      </w:r>
      <w:proofErr w:type="spellEnd"/>
      <w:r w:rsidRPr="007E32FD">
        <w:rPr>
          <w:color w:val="000000"/>
          <w:lang w:val="de-DE"/>
        </w:rPr>
        <w:t xml:space="preserve">, </w:t>
      </w:r>
      <w:proofErr w:type="spellStart"/>
      <w:r w:rsidRPr="007E32FD">
        <w:rPr>
          <w:color w:val="000000"/>
          <w:lang w:val="de-DE"/>
        </w:rPr>
        <w:t>соответствующими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видам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деятельности</w:t>
      </w:r>
      <w:proofErr w:type="spellEnd"/>
      <w:r w:rsidRPr="007E32FD">
        <w:rPr>
          <w:color w:val="000000"/>
          <w:lang w:val="de-DE"/>
        </w:rPr>
        <w:t xml:space="preserve">: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 xml:space="preserve">. </w:t>
      </w:r>
      <w:proofErr w:type="spellStart"/>
      <w:r w:rsidRPr="007E32FD">
        <w:rPr>
          <w:b/>
          <w:color w:val="000000"/>
          <w:lang w:val="de-DE"/>
        </w:rPr>
        <w:t>Монтаж</w:t>
      </w:r>
      <w:proofErr w:type="spellEnd"/>
      <w:r w:rsidRPr="007E32FD">
        <w:rPr>
          <w:b/>
          <w:color w:val="000000"/>
          <w:lang w:val="de-DE"/>
        </w:rPr>
        <w:t xml:space="preserve">, </w:t>
      </w:r>
      <w:proofErr w:type="spellStart"/>
      <w:r w:rsidRPr="007E32FD">
        <w:rPr>
          <w:b/>
          <w:color w:val="000000"/>
          <w:lang w:val="de-DE"/>
        </w:rPr>
        <w:t>наладка</w:t>
      </w:r>
      <w:proofErr w:type="spellEnd"/>
      <w:r w:rsidRPr="007E32FD">
        <w:rPr>
          <w:b/>
          <w:color w:val="000000"/>
          <w:lang w:val="de-DE"/>
        </w:rPr>
        <w:t xml:space="preserve"> и </w:t>
      </w:r>
      <w:proofErr w:type="spellStart"/>
      <w:r w:rsidRPr="007E32FD">
        <w:rPr>
          <w:b/>
          <w:color w:val="000000"/>
          <w:lang w:val="de-DE"/>
        </w:rPr>
        <w:t>эксплуатация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электрооборудования</w:t>
      </w:r>
      <w:proofErr w:type="spellEnd"/>
      <w:r w:rsidRPr="007E32FD">
        <w:rPr>
          <w:b/>
          <w:color w:val="000000"/>
          <w:lang w:val="de-DE"/>
        </w:rPr>
        <w:t xml:space="preserve"> (в </w:t>
      </w:r>
      <w:proofErr w:type="spellStart"/>
      <w:r w:rsidRPr="007E32FD">
        <w:rPr>
          <w:b/>
          <w:color w:val="000000"/>
          <w:lang w:val="de-DE"/>
        </w:rPr>
        <w:t>т.ч</w:t>
      </w:r>
      <w:proofErr w:type="spellEnd"/>
      <w:r w:rsidRPr="007E32FD">
        <w:rPr>
          <w:b/>
          <w:color w:val="000000"/>
          <w:lang w:val="de-DE"/>
        </w:rPr>
        <w:t xml:space="preserve">. </w:t>
      </w:r>
      <w:proofErr w:type="spellStart"/>
      <w:r w:rsidRPr="007E32FD">
        <w:rPr>
          <w:b/>
          <w:color w:val="000000"/>
          <w:lang w:val="de-DE"/>
        </w:rPr>
        <w:t>электроосвещения</w:t>
      </w:r>
      <w:proofErr w:type="spellEnd"/>
      <w:r w:rsidRPr="007E32FD">
        <w:rPr>
          <w:b/>
          <w:color w:val="000000"/>
          <w:lang w:val="de-DE"/>
        </w:rPr>
        <w:t xml:space="preserve">), </w:t>
      </w:r>
      <w:proofErr w:type="spellStart"/>
      <w:r w:rsidRPr="007E32FD">
        <w:rPr>
          <w:b/>
          <w:color w:val="000000"/>
          <w:lang w:val="de-DE"/>
        </w:rPr>
        <w:t>автоматизация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предприятий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E25F91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1.1.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автоматических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управления</w:t>
      </w:r>
      <w:proofErr w:type="spellEnd"/>
      <w:r w:rsidRPr="007E32FD">
        <w:rPr>
          <w:color w:val="000000"/>
          <w:lang w:val="de-DE"/>
        </w:rPr>
        <w:t xml:space="preserve">. ПК 1.2.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эксплуатацию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осветительных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электронагревательных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установок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E25F91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</w:t>
      </w:r>
      <w:proofErr w:type="spellStart"/>
      <w:r w:rsidRPr="007E32FD">
        <w:rPr>
          <w:color w:val="000000"/>
          <w:lang w:val="de-DE"/>
        </w:rPr>
        <w:t>Поддерживать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режимы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работы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заданные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параметры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электрифицированных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автоматических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управления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технологическими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процессами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Pr="007E32FD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Обеспечение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электроснабжения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предприятий</w:t>
      </w:r>
      <w:proofErr w:type="spellEnd"/>
      <w:r w:rsidRPr="007E32FD">
        <w:rPr>
          <w:b/>
          <w:color w:val="000000"/>
          <w:lang w:val="de-DE"/>
        </w:rPr>
        <w:t xml:space="preserve">. </w:t>
      </w:r>
    </w:p>
    <w:p w:rsidR="00F40118" w:rsidRDefault="00F40118" w:rsidP="00E25F91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мероприятия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бесперебойному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электроснабжению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предприятий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E25F91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2.2.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воздушных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линий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электропередач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трансформаторных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подстанций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E25F91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</w:t>
      </w:r>
      <w:proofErr w:type="spellStart"/>
      <w:r w:rsidRPr="007E32FD">
        <w:rPr>
          <w:color w:val="000000"/>
          <w:lang w:val="de-DE"/>
        </w:rPr>
        <w:t>Обеспечивать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электробезопасность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Pr="00E25F91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E25F91">
        <w:rPr>
          <w:b/>
          <w:color w:val="000000"/>
        </w:rPr>
        <w:t>ВПД.03</w:t>
      </w:r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Техническое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обслуживание</w:t>
      </w:r>
      <w:proofErr w:type="spellEnd"/>
      <w:r w:rsidRPr="00E25F91">
        <w:rPr>
          <w:b/>
          <w:color w:val="000000"/>
          <w:lang w:val="de-DE"/>
        </w:rPr>
        <w:t xml:space="preserve">, </w:t>
      </w:r>
      <w:proofErr w:type="spellStart"/>
      <w:r w:rsidRPr="00E25F91">
        <w:rPr>
          <w:b/>
          <w:color w:val="000000"/>
          <w:lang w:val="de-DE"/>
        </w:rPr>
        <w:t>диагностирование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неисправностей</w:t>
      </w:r>
      <w:proofErr w:type="spellEnd"/>
      <w:r w:rsidRPr="00E25F91">
        <w:rPr>
          <w:b/>
          <w:color w:val="000000"/>
          <w:lang w:val="de-DE"/>
        </w:rPr>
        <w:t xml:space="preserve"> и </w:t>
      </w:r>
      <w:proofErr w:type="spellStart"/>
      <w:r w:rsidRPr="00E25F91">
        <w:rPr>
          <w:b/>
          <w:color w:val="000000"/>
          <w:lang w:val="de-DE"/>
        </w:rPr>
        <w:t>ремонт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электрооборудования</w:t>
      </w:r>
      <w:proofErr w:type="spellEnd"/>
      <w:r w:rsidRPr="00E25F91">
        <w:rPr>
          <w:b/>
          <w:color w:val="000000"/>
          <w:lang w:val="de-DE"/>
        </w:rPr>
        <w:t xml:space="preserve"> и </w:t>
      </w:r>
      <w:proofErr w:type="spellStart"/>
      <w:r w:rsidRPr="00E25F91">
        <w:rPr>
          <w:b/>
          <w:color w:val="000000"/>
          <w:lang w:val="de-DE"/>
        </w:rPr>
        <w:t>автоматизированных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систем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сельскохозяйственной</w:t>
      </w:r>
      <w:proofErr w:type="spellEnd"/>
      <w:r w:rsidRPr="00E25F91">
        <w:rPr>
          <w:b/>
          <w:color w:val="000000"/>
          <w:lang w:val="de-DE"/>
        </w:rPr>
        <w:t xml:space="preserve"> </w:t>
      </w:r>
      <w:proofErr w:type="spellStart"/>
      <w:r w:rsidRPr="00E25F91">
        <w:rPr>
          <w:b/>
          <w:color w:val="000000"/>
          <w:lang w:val="de-DE"/>
        </w:rPr>
        <w:t>техники</w:t>
      </w:r>
      <w:proofErr w:type="spellEnd"/>
      <w:r w:rsidRPr="00E25F91">
        <w:rPr>
          <w:b/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техническое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обслуживание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</w:t>
      </w:r>
      <w:proofErr w:type="spellStart"/>
      <w:r w:rsidRPr="007E32FD">
        <w:rPr>
          <w:color w:val="000000"/>
          <w:lang w:val="de-DE"/>
        </w:rPr>
        <w:t>Диагностировать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неисправности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текущий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капитальный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ремонт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надзор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контроль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за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состоянием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эксплуатацией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</w:t>
      </w:r>
      <w:proofErr w:type="spellStart"/>
      <w:r w:rsidRPr="007E32FD">
        <w:rPr>
          <w:color w:val="000000"/>
          <w:lang w:val="de-DE"/>
        </w:rPr>
        <w:t>Участвовать</w:t>
      </w:r>
      <w:proofErr w:type="spellEnd"/>
      <w:r w:rsidRPr="007E32FD">
        <w:rPr>
          <w:color w:val="000000"/>
          <w:lang w:val="de-DE"/>
        </w:rPr>
        <w:t xml:space="preserve"> в </w:t>
      </w:r>
      <w:proofErr w:type="spellStart"/>
      <w:r w:rsidRPr="007E32FD">
        <w:rPr>
          <w:color w:val="000000"/>
          <w:lang w:val="de-DE"/>
        </w:rPr>
        <w:t>проведении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испытаний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сельхозпроизводства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Управление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работами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обеспечению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работоспособности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электрического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хозяйства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потребителей</w:t>
      </w:r>
      <w:proofErr w:type="spellEnd"/>
      <w:r w:rsidRPr="007E32FD">
        <w:rPr>
          <w:b/>
          <w:color w:val="000000"/>
          <w:lang w:val="de-DE"/>
        </w:rPr>
        <w:t xml:space="preserve"> и </w:t>
      </w:r>
      <w:proofErr w:type="spellStart"/>
      <w:r w:rsidRPr="007E32FD">
        <w:rPr>
          <w:b/>
          <w:color w:val="000000"/>
          <w:lang w:val="de-DE"/>
        </w:rPr>
        <w:t>автоматизированных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систем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сельскохозяйственной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техники</w:t>
      </w:r>
      <w:proofErr w:type="spellEnd"/>
      <w:r w:rsidRPr="007E32FD">
        <w:rPr>
          <w:b/>
          <w:color w:val="000000"/>
          <w:lang w:val="de-DE"/>
        </w:rPr>
        <w:t xml:space="preserve">. </w:t>
      </w:r>
    </w:p>
    <w:p w:rsidR="00F07C12" w:rsidRDefault="00F07C12" w:rsidP="00F07C12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</w:t>
      </w:r>
      <w:proofErr w:type="spellStart"/>
      <w:r w:rsidRPr="007E32FD">
        <w:rPr>
          <w:color w:val="000000"/>
          <w:lang w:val="de-DE"/>
        </w:rPr>
        <w:t>Участвовать</w:t>
      </w:r>
      <w:proofErr w:type="spellEnd"/>
      <w:r w:rsidRPr="007E32FD">
        <w:rPr>
          <w:color w:val="000000"/>
          <w:lang w:val="de-DE"/>
        </w:rPr>
        <w:t xml:space="preserve"> в </w:t>
      </w:r>
      <w:proofErr w:type="spellStart"/>
      <w:r w:rsidRPr="007E32FD">
        <w:rPr>
          <w:color w:val="000000"/>
          <w:lang w:val="de-DE"/>
        </w:rPr>
        <w:t>планировании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основных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показателей</w:t>
      </w:r>
      <w:proofErr w:type="spellEnd"/>
      <w:r w:rsidRPr="007E32FD">
        <w:rPr>
          <w:color w:val="000000"/>
          <w:lang w:val="de-DE"/>
        </w:rPr>
        <w:t xml:space="preserve"> в </w:t>
      </w:r>
      <w:proofErr w:type="spellStart"/>
      <w:r w:rsidRPr="007E32FD">
        <w:rPr>
          <w:color w:val="000000"/>
          <w:lang w:val="de-DE"/>
        </w:rPr>
        <w:t>области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обеспечения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работоспособности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электрического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хозяйства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потребителей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07C12" w:rsidRDefault="00F07C12" w:rsidP="00F07C12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</w:t>
      </w:r>
      <w:proofErr w:type="spellStart"/>
      <w:r w:rsidRPr="007E32FD">
        <w:rPr>
          <w:color w:val="000000"/>
          <w:lang w:val="de-DE"/>
        </w:rPr>
        <w:t>Планировать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выполнение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исполнителями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07C12" w:rsidRDefault="00F07C12" w:rsidP="00F07C12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</w:t>
      </w:r>
      <w:proofErr w:type="spellStart"/>
      <w:r w:rsidRPr="007E32FD">
        <w:rPr>
          <w:color w:val="000000"/>
          <w:lang w:val="de-DE"/>
        </w:rPr>
        <w:t>Организовывать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работу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трудового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коллектива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07C12" w:rsidRPr="007E32FD" w:rsidRDefault="00F07C12" w:rsidP="00F07C12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</w:t>
      </w:r>
      <w:proofErr w:type="spellStart"/>
      <w:r w:rsidRPr="007E32FD">
        <w:rPr>
          <w:color w:val="000000"/>
          <w:lang w:val="de-DE"/>
        </w:rPr>
        <w:t>Контролировать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ход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оценивать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результаты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выполнения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исполнителями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07C12" w:rsidRDefault="00F07C12" w:rsidP="00F07C12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4.5. </w:t>
      </w:r>
      <w:proofErr w:type="spellStart"/>
      <w:r w:rsidRPr="007E32FD">
        <w:rPr>
          <w:color w:val="000000"/>
          <w:lang w:val="de-DE"/>
        </w:rPr>
        <w:t>Вести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утвержденную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учетно-отчетную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документацию</w:t>
      </w:r>
      <w:proofErr w:type="spellEnd"/>
      <w:r w:rsidRPr="007E32FD">
        <w:rPr>
          <w:color w:val="000000"/>
          <w:lang w:val="de-DE"/>
        </w:rPr>
        <w:t>.</w:t>
      </w:r>
    </w:p>
    <w:p w:rsidR="00F40118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Выполнение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одной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или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нескольким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профессиям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рабочих</w:t>
      </w:r>
      <w:proofErr w:type="spellEnd"/>
      <w:r w:rsidRPr="007E32FD">
        <w:rPr>
          <w:b/>
          <w:color w:val="000000"/>
          <w:lang w:val="de-DE"/>
        </w:rPr>
        <w:t xml:space="preserve">, </w:t>
      </w:r>
      <w:proofErr w:type="spellStart"/>
      <w:r w:rsidRPr="007E32FD">
        <w:rPr>
          <w:b/>
          <w:color w:val="000000"/>
          <w:lang w:val="de-DE"/>
        </w:rPr>
        <w:t>должностям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служащих</w:t>
      </w:r>
      <w:proofErr w:type="spellEnd"/>
      <w:r w:rsidRPr="007E32FD">
        <w:rPr>
          <w:b/>
          <w:color w:val="000000"/>
          <w:lang w:val="de-DE"/>
        </w:rPr>
        <w:t>.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Специалист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направлению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r>
        <w:rPr>
          <w:szCs w:val="28"/>
        </w:rPr>
        <w:t xml:space="preserve">35.02.08 «Электрификация и автоматизация сельского хозяйства» </w:t>
      </w:r>
      <w:proofErr w:type="spellStart"/>
      <w:r w:rsidRPr="009222BC">
        <w:rPr>
          <w:color w:val="000000"/>
          <w:lang w:val="de-DE"/>
        </w:rPr>
        <w:t>долже</w:t>
      </w:r>
      <w:r>
        <w:rPr>
          <w:color w:val="000000"/>
          <w:lang w:val="de-DE"/>
        </w:rPr>
        <w:t>н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обладать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общими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компетенциями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включающими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себя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способность</w:t>
      </w:r>
      <w:proofErr w:type="spellEnd"/>
      <w:r w:rsidRPr="008A7E56">
        <w:rPr>
          <w:color w:val="000000"/>
          <w:lang w:val="de-DE"/>
        </w:rPr>
        <w:t xml:space="preserve">: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</w:t>
      </w:r>
      <w:proofErr w:type="spellStart"/>
      <w:r w:rsidRPr="008A7E56">
        <w:rPr>
          <w:color w:val="000000"/>
          <w:lang w:val="de-DE"/>
        </w:rPr>
        <w:t>Понимать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сущность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социальную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значимость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своей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будущей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проявлять</w:t>
      </w:r>
      <w:proofErr w:type="spellEnd"/>
      <w:r w:rsidRPr="008A7E56">
        <w:rPr>
          <w:color w:val="000000"/>
          <w:lang w:val="de-DE"/>
        </w:rPr>
        <w:t xml:space="preserve"> к </w:t>
      </w:r>
      <w:proofErr w:type="spellStart"/>
      <w:r w:rsidRPr="008A7E56">
        <w:rPr>
          <w:color w:val="000000"/>
          <w:lang w:val="de-DE"/>
        </w:rPr>
        <w:t>ней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устойчивый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интерес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</w:t>
      </w:r>
      <w:proofErr w:type="spellStart"/>
      <w:r w:rsidRPr="008A7E56">
        <w:rPr>
          <w:color w:val="000000"/>
          <w:lang w:val="de-DE"/>
        </w:rPr>
        <w:t>Организовывать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собственную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деятельность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выбирать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типовые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методы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способы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оценивать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эффективность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качество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</w:t>
      </w:r>
      <w:proofErr w:type="spellStart"/>
      <w:r w:rsidRPr="008A7E56">
        <w:rPr>
          <w:color w:val="000000"/>
          <w:lang w:val="de-DE"/>
        </w:rPr>
        <w:t>Принимать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решения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стандартных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нестандартных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ситуациях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нести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них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ответственность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</w:t>
      </w:r>
      <w:proofErr w:type="spellStart"/>
      <w:r w:rsidRPr="008A7E56">
        <w:rPr>
          <w:color w:val="000000"/>
          <w:lang w:val="de-DE"/>
        </w:rPr>
        <w:t>Осуществлять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поиск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использование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информации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необходимой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для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эффективного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профессионального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личностного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развития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5. </w:t>
      </w:r>
      <w:proofErr w:type="spellStart"/>
      <w:r w:rsidRPr="008A7E56">
        <w:rPr>
          <w:color w:val="000000"/>
          <w:lang w:val="de-DE"/>
        </w:rPr>
        <w:t>Использовать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информационно-коммуникационные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технологии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профессиональной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</w:t>
      </w:r>
      <w:proofErr w:type="spellStart"/>
      <w:r w:rsidRPr="008A7E56">
        <w:rPr>
          <w:color w:val="000000"/>
          <w:lang w:val="de-DE"/>
        </w:rPr>
        <w:t>Работать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коллективе</w:t>
      </w:r>
      <w:proofErr w:type="spellEnd"/>
      <w:r w:rsidRPr="008A7E56">
        <w:rPr>
          <w:color w:val="000000"/>
          <w:lang w:val="de-DE"/>
        </w:rPr>
        <w:t xml:space="preserve"> и в </w:t>
      </w:r>
      <w:proofErr w:type="spellStart"/>
      <w:r w:rsidRPr="008A7E56">
        <w:rPr>
          <w:color w:val="000000"/>
          <w:lang w:val="de-DE"/>
        </w:rPr>
        <w:t>команде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эффективно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общаться</w:t>
      </w:r>
      <w:proofErr w:type="spellEnd"/>
      <w:r w:rsidRPr="008A7E56">
        <w:rPr>
          <w:color w:val="000000"/>
          <w:lang w:val="de-DE"/>
        </w:rPr>
        <w:t xml:space="preserve"> с </w:t>
      </w:r>
      <w:proofErr w:type="spellStart"/>
      <w:r w:rsidRPr="008A7E56">
        <w:rPr>
          <w:color w:val="000000"/>
          <w:lang w:val="de-DE"/>
        </w:rPr>
        <w:t>коллегами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руководством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потребителями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</w:t>
      </w:r>
      <w:proofErr w:type="spellStart"/>
      <w:r w:rsidRPr="008A7E56">
        <w:rPr>
          <w:color w:val="000000"/>
          <w:lang w:val="de-DE"/>
        </w:rPr>
        <w:t>Брать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на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себя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ответственность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работу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членов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команды</w:t>
      </w:r>
      <w:proofErr w:type="spellEnd"/>
      <w:r w:rsidRPr="008A7E56">
        <w:rPr>
          <w:color w:val="000000"/>
          <w:lang w:val="de-DE"/>
        </w:rPr>
        <w:t xml:space="preserve"> (</w:t>
      </w:r>
      <w:proofErr w:type="spellStart"/>
      <w:r w:rsidRPr="008A7E56">
        <w:rPr>
          <w:color w:val="000000"/>
          <w:lang w:val="de-DE"/>
        </w:rPr>
        <w:t>подчиненных</w:t>
      </w:r>
      <w:proofErr w:type="spellEnd"/>
      <w:r w:rsidRPr="008A7E56">
        <w:rPr>
          <w:color w:val="000000"/>
          <w:lang w:val="de-DE"/>
        </w:rPr>
        <w:t xml:space="preserve">),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результат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заданий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Pr="008A7E56" w:rsidRDefault="00F40118" w:rsidP="005F74A0">
      <w:pPr>
        <w:pStyle w:val="western"/>
        <w:spacing w:before="0" w:beforeAutospacing="0"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</w:t>
      </w:r>
      <w:proofErr w:type="spellStart"/>
      <w:r w:rsidRPr="008A7E56">
        <w:rPr>
          <w:color w:val="000000"/>
          <w:lang w:val="de-DE"/>
        </w:rPr>
        <w:t>Самостоятельно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определять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задачи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профессионального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личностного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развития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заниматься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самообразованием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осознанно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планировать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повышение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квалификации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Pr="007E32FD" w:rsidRDefault="00F40118" w:rsidP="005F74A0">
      <w:pPr>
        <w:pStyle w:val="western"/>
        <w:spacing w:before="0" w:beforeAutospacing="0" w:after="0" w:afterAutospacing="0" w:line="240" w:lineRule="atLeast"/>
        <w:rPr>
          <w:b/>
          <w:color w:val="000000"/>
          <w:lang w:val="de-DE"/>
        </w:rPr>
      </w:pPr>
      <w:r w:rsidRPr="008A7E56">
        <w:rPr>
          <w:color w:val="000000"/>
          <w:lang w:val="de-DE"/>
        </w:rPr>
        <w:t xml:space="preserve">ОК 9. </w:t>
      </w:r>
      <w:proofErr w:type="spellStart"/>
      <w:r w:rsidRPr="008A7E56">
        <w:rPr>
          <w:color w:val="000000"/>
          <w:lang w:val="de-DE"/>
        </w:rPr>
        <w:t>Ориентироваться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условиях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частой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смены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технологий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профессиональной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деятельности</w:t>
      </w:r>
      <w:proofErr w:type="spellEnd"/>
    </w:p>
    <w:p w:rsidR="00970DB2" w:rsidRPr="00F40118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  <w:lang w:val="de-DE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F40118">
        <w:rPr>
          <w:sz w:val="22"/>
          <w:szCs w:val="22"/>
          <w:u w:val="single"/>
        </w:rPr>
        <w:t>35.02.08</w:t>
      </w:r>
      <w:r w:rsidR="00970DB2">
        <w:rPr>
          <w:sz w:val="22"/>
          <w:szCs w:val="22"/>
          <w:u w:val="single"/>
        </w:rPr>
        <w:t xml:space="preserve"> </w:t>
      </w:r>
      <w:r w:rsidR="00F40118">
        <w:rPr>
          <w:sz w:val="22"/>
          <w:szCs w:val="22"/>
          <w:u w:val="single"/>
        </w:rPr>
        <w:t>Электрификация и автоматизация сельского хозяйства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5F74A0">
      <w:pPr>
        <w:spacing w:after="0" w:line="240" w:lineRule="auto"/>
        <w:ind w:left="567" w:right="-144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5F74A0">
      <w:pPr>
        <w:spacing w:after="0" w:line="240" w:lineRule="auto"/>
        <w:ind w:left="567" w:right="-144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5F74A0">
      <w:pPr>
        <w:spacing w:after="0" w:line="240" w:lineRule="auto"/>
        <w:ind w:left="567" w:right="-144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5F74A0" w:rsidRDefault="005F74A0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104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641"/>
      </w:tblGrid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49403E" w:rsidRDefault="0049403E" w:rsidP="00A82B8A">
            <w:pPr>
              <w:pStyle w:val="a3"/>
              <w:ind w:left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Коровник на 200 голов в </w:t>
            </w:r>
            <w:proofErr w:type="spellStart"/>
            <w:r>
              <w:rPr>
                <w:rFonts w:ascii="Times New Roman" w:hAnsi="Times New Roman"/>
                <w:sz w:val="24"/>
              </w:rPr>
              <w:t>ЗАО«Новый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Коровник на 200 голов в </w:t>
            </w:r>
            <w:proofErr w:type="spellStart"/>
            <w:r>
              <w:rPr>
                <w:rFonts w:ascii="Times New Roman" w:hAnsi="Times New Roman"/>
                <w:sz w:val="24"/>
              </w:rPr>
              <w:t>ЗАО«Новый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</w:rPr>
              <w:t>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rPr>
          <w:trHeight w:val="18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rPr>
          <w:trHeight w:val="18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49403E" w:rsidTr="0049403E">
        <w:trPr>
          <w:trHeight w:val="19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pStyle w:val="a3"/>
              <w:ind w:left="36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49403E" w:rsidRDefault="0049403E" w:rsidP="00A82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49403E" w:rsidRDefault="0049403E" w:rsidP="00627B9E">
      <w:pPr>
        <w:ind w:right="-144" w:firstLine="567"/>
        <w:rPr>
          <w:rFonts w:ascii="Times New Roman" w:hAnsi="Times New Roman"/>
          <w:lang w:eastAsia="ko-KR"/>
        </w:rPr>
      </w:pPr>
    </w:p>
    <w:p w:rsidR="0049403E" w:rsidRDefault="0049403E" w:rsidP="00627B9E">
      <w:pPr>
        <w:ind w:right="-144" w:firstLine="567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lastRenderedPageBreak/>
        <w:t xml:space="preserve">Темы ВКР определяются преподавателями в рамках профессиональных модулей, рассматриваются на заседании </w:t>
      </w:r>
      <w:r w:rsidR="0049403E">
        <w:rPr>
          <w:rFonts w:ascii="Times New Roman" w:hAnsi="Times New Roman"/>
          <w:lang w:eastAsia="ko-KR"/>
        </w:rPr>
        <w:t>ПЦК,</w:t>
      </w:r>
      <w:r w:rsidRPr="00C85610">
        <w:rPr>
          <w:rFonts w:ascii="Times New Roman" w:hAnsi="Times New Roman"/>
          <w:lang w:eastAsia="ko-KR"/>
        </w:rPr>
        <w:t xml:space="preserve">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CA675C" w:rsidRDefault="00CA675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CA675C" w:rsidRDefault="00CA675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 xml:space="preserve">РЕЗУЛЬТАТЫ ОСВОЕНИЯ </w:t>
      </w:r>
      <w:r w:rsidR="0049403E">
        <w:rPr>
          <w:rFonts w:ascii="Times New Roman" w:hAnsi="Times New Roman"/>
          <w:b/>
        </w:rPr>
        <w:t>ОСНОВНОЙ ПРОФЕССИОНАЛЬНОЙ ОБРАЗОВАТЕЛЬНОЙ ПРОГРАММЫ</w:t>
      </w:r>
      <w:r w:rsidRPr="00C85610">
        <w:rPr>
          <w:rFonts w:ascii="Times New Roman" w:hAnsi="Times New Roman"/>
          <w:b/>
        </w:rPr>
        <w:t>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F40118">
        <w:rPr>
          <w:rFonts w:ascii="Times New Roman" w:hAnsi="Times New Roman"/>
        </w:rPr>
        <w:t>35.02.08</w:t>
      </w:r>
      <w:r w:rsidR="00DC0B85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Default="00523DDB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D18F2" w:rsidRPr="00C85610">
        <w:rPr>
          <w:rFonts w:ascii="Times New Roman" w:hAnsi="Times New Roman"/>
          <w:b/>
        </w:rPr>
        <w:t>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CA675C">
        <w:trPr>
          <w:trHeight w:val="273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CA675C">
        <w:trPr>
          <w:trHeight w:val="643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CA675C">
        <w:trPr>
          <w:trHeight w:val="1281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A675C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66"/>
      </w:tblGrid>
      <w:tr w:rsidR="00627B9E" w:rsidRPr="00C85610" w:rsidTr="00523DDB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6266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523DDB">
        <w:trPr>
          <w:trHeight w:val="268"/>
        </w:trPr>
        <w:tc>
          <w:tcPr>
            <w:tcW w:w="9493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выпускника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523DDB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523DDB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CA675C">
        <w:trPr>
          <w:trHeight w:val="435"/>
        </w:trPr>
        <w:tc>
          <w:tcPr>
            <w:tcW w:w="9493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523DDB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CA675C" w:rsidRDefault="00CA675C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523DDB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</w:t>
      </w:r>
      <w:r w:rsidR="005F74A0">
        <w:rPr>
          <w:rFonts w:ascii="Times New Roman" w:hAnsi="Times New Roman"/>
          <w:lang w:eastAsia="ko-KR"/>
        </w:rPr>
        <w:t>остовский колледж отраслевых технологий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523DDB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lastRenderedPageBreak/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p w:rsidR="005F74A0" w:rsidRPr="00C85610" w:rsidRDefault="005F74A0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lastRenderedPageBreak/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5F74A0" w:rsidRDefault="005F74A0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49403E" w:rsidRDefault="0049403E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23DDB" w:rsidRPr="00523DDB" w:rsidTr="00E25F91">
        <w:tc>
          <w:tcPr>
            <w:tcW w:w="4927" w:type="dxa"/>
          </w:tcPr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</w:t>
            </w:r>
            <w:r w:rsidR="005F74A0">
              <w:rPr>
                <w:rFonts w:ascii="Times New Roman" w:hAnsi="Times New Roman"/>
                <w:sz w:val="24"/>
                <w:szCs w:val="28"/>
              </w:rPr>
              <w:t>Электрификация и автоматизация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сельского хозяйства»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Проток</w:t>
            </w:r>
            <w:r w:rsidR="005F74A0">
              <w:rPr>
                <w:rFonts w:ascii="Times New Roman" w:hAnsi="Times New Roman"/>
                <w:sz w:val="24"/>
                <w:szCs w:val="28"/>
              </w:rPr>
              <w:t xml:space="preserve">ол № _____ </w:t>
            </w:r>
            <w:proofErr w:type="gramStart"/>
            <w:r w:rsidR="005F74A0">
              <w:rPr>
                <w:rFonts w:ascii="Times New Roman" w:hAnsi="Times New Roman"/>
                <w:sz w:val="24"/>
                <w:szCs w:val="28"/>
              </w:rPr>
              <w:t>от  «</w:t>
            </w:r>
            <w:proofErr w:type="gramEnd"/>
            <w:r w:rsidR="005F74A0">
              <w:rPr>
                <w:rFonts w:ascii="Times New Roman" w:hAnsi="Times New Roman"/>
                <w:sz w:val="24"/>
                <w:szCs w:val="28"/>
              </w:rPr>
              <w:t>___» _______ 20__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CA675C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</w:t>
            </w:r>
            <w:r w:rsidR="005F74A0">
              <w:rPr>
                <w:rFonts w:ascii="Times New Roman" w:hAnsi="Times New Roman"/>
                <w:sz w:val="24"/>
                <w:szCs w:val="28"/>
              </w:rPr>
              <w:t xml:space="preserve">Гусева </w:t>
            </w:r>
            <w:proofErr w:type="gramStart"/>
            <w:r w:rsidR="005F74A0">
              <w:rPr>
                <w:rFonts w:ascii="Times New Roman" w:hAnsi="Times New Roman"/>
                <w:sz w:val="24"/>
                <w:szCs w:val="28"/>
              </w:rPr>
              <w:t>П.Л.</w:t>
            </w:r>
            <w:r w:rsidR="00523DDB" w:rsidRPr="00523DD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 w:rsidRPr="00CA675C">
              <w:rPr>
                <w:rFonts w:ascii="Times New Roman" w:hAnsi="Times New Roman"/>
                <w:sz w:val="18"/>
                <w:szCs w:val="28"/>
              </w:rPr>
              <w:t>(</w:t>
            </w:r>
            <w:proofErr w:type="gramStart"/>
            <w:r w:rsidRPr="00CA675C">
              <w:rPr>
                <w:rFonts w:ascii="Times New Roman" w:hAnsi="Times New Roman"/>
                <w:sz w:val="18"/>
                <w:szCs w:val="28"/>
              </w:rPr>
              <w:t xml:space="preserve">подпись)   </w:t>
            </w:r>
            <w:proofErr w:type="gramEnd"/>
            <w:r w:rsidRPr="00CA675C">
              <w:rPr>
                <w:rFonts w:ascii="Times New Roman" w:hAnsi="Times New Roman"/>
                <w:sz w:val="18"/>
                <w:szCs w:val="28"/>
              </w:rPr>
              <w:t xml:space="preserve">    (Ф.И.О.)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</w:t>
            </w:r>
            <w:r w:rsidR="005F74A0">
              <w:rPr>
                <w:rFonts w:ascii="Times New Roman" w:hAnsi="Times New Roman"/>
                <w:sz w:val="24"/>
                <w:szCs w:val="28"/>
              </w:rPr>
              <w:t>_____» _____________________20</w:t>
            </w:r>
            <w:r w:rsidR="00CA675C">
              <w:rPr>
                <w:rFonts w:ascii="Times New Roman" w:hAnsi="Times New Roman"/>
                <w:sz w:val="24"/>
                <w:szCs w:val="28"/>
              </w:rPr>
              <w:t>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928" w:type="dxa"/>
          </w:tcPr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по УМР__________</w:t>
            </w:r>
            <w:proofErr w:type="spellStart"/>
            <w:r w:rsidRPr="00523DDB">
              <w:rPr>
                <w:rFonts w:ascii="Times New Roman" w:hAnsi="Times New Roman"/>
                <w:sz w:val="24"/>
                <w:szCs w:val="28"/>
              </w:rPr>
              <w:t>В.В.Рыбина</w:t>
            </w:r>
            <w:proofErr w:type="spellEnd"/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5F74A0">
              <w:rPr>
                <w:rFonts w:ascii="Times New Roman" w:hAnsi="Times New Roman"/>
                <w:sz w:val="24"/>
                <w:szCs w:val="28"/>
              </w:rPr>
              <w:t xml:space="preserve">   «______» ________________20</w:t>
            </w:r>
            <w:r w:rsidR="00CA675C">
              <w:rPr>
                <w:rFonts w:ascii="Times New Roman" w:hAnsi="Times New Roman"/>
                <w:sz w:val="24"/>
                <w:szCs w:val="28"/>
              </w:rPr>
              <w:t>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523DDB" w:rsidRPr="00660A7B" w:rsidRDefault="00523DDB" w:rsidP="00523DDB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>_</w:t>
      </w:r>
      <w:r w:rsidR="005F74A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(фамилия, имя, отчество)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Утверждена приказом по колледжу </w:t>
      </w:r>
      <w:r w:rsidR="005F74A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 ___</w:t>
      </w:r>
      <w:r w:rsidR="005F74A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__20</w:t>
      </w:r>
      <w:r w:rsidR="005F74A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_г.          № </w:t>
      </w:r>
      <w:r w:rsidR="005F74A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49403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                                    2. Специальность </w:t>
      </w:r>
      <w:r w:rsidR="0049403E">
        <w:rPr>
          <w:rFonts w:ascii="Times New Roman" w:hAnsi="Times New Roman"/>
        </w:rPr>
        <w:t>35.02.08</w:t>
      </w:r>
      <w:r w:rsidR="0049403E" w:rsidRPr="00503499">
        <w:rPr>
          <w:rFonts w:ascii="Times New Roman" w:hAnsi="Times New Roman"/>
          <w:sz w:val="24"/>
          <w:u w:val="single"/>
        </w:rPr>
        <w:t xml:space="preserve"> Электрификация</w:t>
      </w:r>
      <w:r w:rsidRPr="00503499">
        <w:rPr>
          <w:rFonts w:ascii="Times New Roman" w:hAnsi="Times New Roman"/>
          <w:sz w:val="24"/>
          <w:u w:val="single"/>
        </w:rPr>
        <w:t xml:space="preserve"> и автоматизация сельского хозяйства                                 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523DDB" w:rsidRPr="005274C1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r w:rsidR="005F74A0">
        <w:rPr>
          <w:rFonts w:ascii="Times New Roman" w:hAnsi="Times New Roman"/>
        </w:rPr>
        <w:t>задания «____» ________________ 20__</w:t>
      </w:r>
      <w:r>
        <w:rPr>
          <w:rFonts w:ascii="Times New Roman" w:hAnsi="Times New Roman"/>
        </w:rPr>
        <w:t>_ г.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74A0">
        <w:rPr>
          <w:rFonts w:ascii="Times New Roman" w:hAnsi="Times New Roman"/>
        </w:rPr>
        <w:t>Руководитель дипломного проектирования</w:t>
      </w:r>
      <w:r>
        <w:rPr>
          <w:rFonts w:ascii="Times New Roman" w:hAnsi="Times New Roman"/>
        </w:rPr>
        <w:t xml:space="preserve"> ________________                       ________________</w:t>
      </w:r>
    </w:p>
    <w:p w:rsidR="00523DDB" w:rsidRDefault="00523DDB" w:rsidP="00523DDB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 w:rsidR="005F74A0"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                                     (Ф.И.О.)</w:t>
      </w: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973420" w:rsidRDefault="00973420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523DDB" w:rsidRDefault="00523DDB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r w:rsidR="005F74A0">
        <w:rPr>
          <w:rFonts w:ascii="Times" w:hAnsi="Times"/>
          <w:b/>
        </w:rPr>
        <w:t>обучающемуся</w:t>
      </w:r>
      <w:r w:rsidR="005F74A0" w:rsidRPr="00C85610">
        <w:rPr>
          <w:rFonts w:ascii="Times" w:hAnsi="Times"/>
          <w:b/>
        </w:rPr>
        <w:t xml:space="preserve"> по</w:t>
      </w:r>
      <w:r w:rsidRPr="00C85610">
        <w:rPr>
          <w:rFonts w:ascii="Times" w:hAnsi="Times"/>
          <w:b/>
        </w:rPr>
        <w:t xml:space="preserve"> выполнению и </w:t>
      </w:r>
      <w:r w:rsidR="005F74A0" w:rsidRPr="00C85610">
        <w:rPr>
          <w:rFonts w:ascii="Times" w:hAnsi="Times"/>
          <w:b/>
        </w:rPr>
        <w:t>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F40118">
        <w:rPr>
          <w:rFonts w:ascii="Times New Roman" w:hAnsi="Times New Roman"/>
          <w:u w:val="single"/>
        </w:rPr>
        <w:t>35.02.08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F40118">
        <w:rPr>
          <w:rFonts w:ascii="Times New Roman" w:hAnsi="Times New Roman"/>
          <w:u w:val="single"/>
        </w:rPr>
        <w:t>Электрификация и автоматизация сельского хозяйства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F07C12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1.6. Отдельным документом проходит лист согласования тем ВКР с работодателем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="00627B9E"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4D21C4"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="00627B9E"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="00627B9E"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523DDB">
        <w:rPr>
          <w:rFonts w:ascii="Times New Roman" w:eastAsia="Times New Roman" w:hAnsi="Times New Roman"/>
        </w:rPr>
        <w:t xml:space="preserve">методической </w:t>
      </w:r>
      <w:r w:rsidR="00523DDB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973420" w:rsidRDefault="00627B9E" w:rsidP="00973420">
      <w:pPr>
        <w:pStyle w:val="a3"/>
        <w:numPr>
          <w:ilvl w:val="0"/>
          <w:numId w:val="2"/>
        </w:numPr>
        <w:rPr>
          <w:b/>
          <w:bCs/>
        </w:rPr>
      </w:pPr>
      <w:r w:rsidRPr="00973420">
        <w:rPr>
          <w:b/>
          <w:bCs/>
          <w:sz w:val="24"/>
        </w:rPr>
        <w:t>Требования к структуре ВКР</w:t>
      </w:r>
    </w:p>
    <w:p w:rsidR="00F07C12" w:rsidRPr="00C85610" w:rsidRDefault="00F07C12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lastRenderedPageBreak/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523DDB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523DDB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523DDB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lastRenderedPageBreak/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523DDB" w:rsidRPr="00C85610">
        <w:rPr>
          <w:rFonts w:ascii="Times New Roman" w:hAnsi="Times New Roman"/>
          <w:spacing w:val="6"/>
          <w:lang w:eastAsia="ru-RU"/>
        </w:rPr>
        <w:t>результатов (</w:t>
      </w:r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523DDB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523DDB" w:rsidRPr="00C85610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523DDB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523DDB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</w:t>
      </w: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523DDB" w:rsidRPr="00C85610">
        <w:rPr>
          <w:rFonts w:ascii="Times New Roman" w:hAnsi="Times New Roman"/>
          <w:lang w:eastAsia="ru-RU"/>
        </w:rPr>
        <w:t xml:space="preserve">исследования </w:t>
      </w:r>
      <w:r w:rsidR="00973420" w:rsidRPr="00C85610">
        <w:rPr>
          <w:rFonts w:ascii="Times New Roman" w:hAnsi="Times New Roman"/>
          <w:lang w:eastAsia="ru-RU"/>
        </w:rPr>
        <w:t>рекомендуется представлять</w:t>
      </w:r>
      <w:r w:rsidRPr="00C85610">
        <w:rPr>
          <w:rFonts w:ascii="Times New Roman" w:hAnsi="Times New Roman"/>
          <w:lang w:eastAsia="ru-RU"/>
        </w:rPr>
        <w:t xml:space="preserve"> обобщенные </w:t>
      </w:r>
      <w:r w:rsidR="00973420" w:rsidRPr="00C85610">
        <w:rPr>
          <w:rFonts w:ascii="Times New Roman" w:hAnsi="Times New Roman"/>
          <w:lang w:eastAsia="ru-RU"/>
        </w:rPr>
        <w:t>результаты исследования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r w:rsidR="00973420" w:rsidRPr="00C85610">
        <w:rPr>
          <w:rFonts w:ascii="Times New Roman" w:eastAsia="Times New Roman" w:hAnsi="Times New Roman"/>
          <w:lang w:eastAsia="ru-RU"/>
        </w:rPr>
        <w:t>видеокамерой</w:t>
      </w:r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</w:t>
      </w:r>
      <w:r w:rsidRPr="00C85610">
        <w:rPr>
          <w:rFonts w:ascii="Times New Roman" w:eastAsia="Times New Roman" w:hAnsi="Times New Roman"/>
          <w:lang w:eastAsia="ru-RU"/>
        </w:rPr>
        <w:lastRenderedPageBreak/>
        <w:t>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CA675C" w:rsidRDefault="00CA675C" w:rsidP="00627B9E">
      <w:pPr>
        <w:rPr>
          <w:rFonts w:asciiTheme="minorHAnsi" w:eastAsiaTheme="minorHAnsi" w:hAnsiTheme="minorHAnsi" w:cstheme="minorBidi"/>
        </w:rPr>
      </w:pPr>
    </w:p>
    <w:p w:rsidR="00CA675C" w:rsidRDefault="00CA675C" w:rsidP="00627B9E">
      <w:pPr>
        <w:rPr>
          <w:rFonts w:asciiTheme="minorHAnsi" w:eastAsiaTheme="minorHAnsi" w:hAnsiTheme="minorHAnsi" w:cstheme="minorBidi"/>
        </w:rPr>
      </w:pPr>
    </w:p>
    <w:p w:rsidR="00F07C12" w:rsidRDefault="00F07C12" w:rsidP="00627B9E">
      <w:pPr>
        <w:rPr>
          <w:rFonts w:asciiTheme="minorHAnsi" w:eastAsiaTheme="minorHAnsi" w:hAnsiTheme="minorHAnsi" w:cstheme="minorBidi"/>
        </w:rPr>
      </w:pPr>
    </w:p>
    <w:p w:rsidR="00F07C12" w:rsidRDefault="00F07C12" w:rsidP="00627B9E">
      <w:pPr>
        <w:rPr>
          <w:rFonts w:asciiTheme="minorHAnsi" w:eastAsiaTheme="minorHAnsi" w:hAnsiTheme="minorHAnsi" w:cstheme="minorBidi"/>
        </w:rPr>
      </w:pPr>
    </w:p>
    <w:p w:rsidR="00F07C12" w:rsidRDefault="00F07C12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420">
        <w:rPr>
          <w:rFonts w:ascii="Times New Roman" w:hAnsi="Times New Roman"/>
        </w:rPr>
        <w:t>__________________________________________________</w:t>
      </w:r>
      <w:r w:rsidRPr="00991727">
        <w:rPr>
          <w:rFonts w:ascii="Times New Roman" w:hAnsi="Times New Roman"/>
        </w:rPr>
        <w:t>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420">
        <w:rPr>
          <w:rFonts w:ascii="Times New Roman" w:hAnsi="Times New Roman"/>
        </w:rPr>
        <w:t>__________________________________________________</w:t>
      </w:r>
      <w:r w:rsidRPr="00991727">
        <w:rPr>
          <w:rFonts w:ascii="Times New Roman" w:hAnsi="Times New Roman"/>
        </w:rPr>
        <w:t>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</w:t>
      </w:r>
      <w:r w:rsidR="00973420">
        <w:rPr>
          <w:rFonts w:ascii="Times New Roman" w:hAnsi="Times New Roman"/>
        </w:rPr>
        <w:t>_____</w:t>
      </w:r>
      <w:r w:rsidRPr="00991727">
        <w:rPr>
          <w:rFonts w:ascii="Times New Roman" w:hAnsi="Times New Roman"/>
        </w:rPr>
        <w:t>________</w:t>
      </w:r>
    </w:p>
    <w:p w:rsidR="00F07C12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C12">
        <w:rPr>
          <w:rFonts w:ascii="Times New Roman" w:hAnsi="Times New Roman"/>
        </w:rPr>
        <w:t>_______________________________________________________</w:t>
      </w:r>
      <w:r w:rsidRPr="00991727">
        <w:rPr>
          <w:rFonts w:ascii="Times New Roman" w:hAnsi="Times New Roman"/>
        </w:rPr>
        <w:t>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Предлагаемая оценка дипломного проекта ______</w:t>
      </w:r>
      <w:r w:rsidR="00F07C12">
        <w:rPr>
          <w:rFonts w:ascii="Times New Roman" w:hAnsi="Times New Roman"/>
        </w:rPr>
        <w:t>_____________________________________</w:t>
      </w:r>
      <w:r w:rsidRPr="00991727">
        <w:rPr>
          <w:rFonts w:ascii="Times New Roman" w:hAnsi="Times New Roman"/>
        </w:rPr>
        <w:t>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«______» ____________</w:t>
      </w:r>
      <w:r w:rsidR="00F07C12">
        <w:rPr>
          <w:rFonts w:ascii="Times New Roman" w:hAnsi="Times New Roman"/>
        </w:rPr>
        <w:t>______________ 20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F07C12" w:rsidRDefault="00F07C12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973420" w:rsidRPr="00C85610" w:rsidRDefault="00973420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</w:t>
      </w:r>
      <w:r w:rsidR="00F07C12">
        <w:rPr>
          <w:rFonts w:ascii="Times New Roman" w:hAnsi="Times New Roman"/>
        </w:rPr>
        <w:t>_____</w:t>
      </w:r>
      <w:r w:rsidRPr="00991727">
        <w:rPr>
          <w:rFonts w:ascii="Times New Roman" w:hAnsi="Times New Roman"/>
        </w:rPr>
        <w:t>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оценки</w:t>
      </w:r>
      <w:r w:rsidR="00F07C12">
        <w:rPr>
          <w:rFonts w:ascii="Times New Roman" w:hAnsi="Times New Roman"/>
        </w:rPr>
        <w:t xml:space="preserve"> </w:t>
      </w:r>
      <w:r w:rsidR="00F07C12" w:rsidRPr="00991727">
        <w:rPr>
          <w:rFonts w:ascii="Times New Roman" w:hAnsi="Times New Roman"/>
        </w:rPr>
        <w:t>_________________________________________</w:t>
      </w:r>
      <w:r w:rsidRPr="00991727">
        <w:rPr>
          <w:rFonts w:ascii="Times New Roman" w:hAnsi="Times New Roman"/>
        </w:rPr>
        <w:t>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</w:t>
      </w:r>
      <w:r w:rsidR="00F07C12">
        <w:rPr>
          <w:rFonts w:ascii="Times New Roman" w:hAnsi="Times New Roman"/>
        </w:rPr>
        <w:t>» __________________________ 20___</w:t>
      </w:r>
      <w:r w:rsidRPr="00991727">
        <w:rPr>
          <w:rFonts w:ascii="Times New Roman" w:hAnsi="Times New Roman"/>
        </w:rPr>
        <w:t>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523DDB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  <w:b/>
          <w:sz w:val="24"/>
        </w:rPr>
      </w:pPr>
      <w:r w:rsidRPr="00523DDB">
        <w:rPr>
          <w:rFonts w:ascii="Times" w:hAnsi="Times"/>
          <w:b/>
          <w:sz w:val="24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973420" w:rsidRPr="00C85610" w:rsidRDefault="00973420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973420" w:rsidRPr="00C85610" w:rsidRDefault="00973420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97342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973420" w:rsidRPr="00C85610" w:rsidRDefault="00973420" w:rsidP="00973420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523DDB" w:rsidRDefault="00627B9E" w:rsidP="00627B9E">
      <w:pPr>
        <w:spacing w:after="0"/>
        <w:jc w:val="center"/>
        <w:rPr>
          <w:rFonts w:ascii="Times" w:hAnsi="Times"/>
          <w:b/>
        </w:rPr>
      </w:pPr>
      <w:r w:rsidRPr="00523DDB">
        <w:rPr>
          <w:rFonts w:ascii="Times" w:hAnsi="Times"/>
          <w:b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 xml:space="preserve">курс </w:t>
      </w:r>
      <w:r w:rsidR="00973420">
        <w:rPr>
          <w:rFonts w:ascii="Times New Roman" w:hAnsi="Times New Roman"/>
        </w:rPr>
        <w:t>__</w:t>
      </w:r>
      <w:r w:rsidRPr="00F07C12">
        <w:rPr>
          <w:rFonts w:ascii="Times New Roman" w:hAnsi="Times New Roman"/>
          <w:u w:val="single"/>
        </w:rPr>
        <w:t>4</w:t>
      </w:r>
      <w:r w:rsidR="00973420">
        <w:rPr>
          <w:rFonts w:ascii="Times New Roman" w:hAnsi="Times New Roman"/>
          <w:u w:val="single"/>
        </w:rPr>
        <w:t>___</w:t>
      </w:r>
      <w:bookmarkStart w:id="0" w:name="_GoBack"/>
      <w:bookmarkEnd w:id="0"/>
      <w:r w:rsidR="00627B9E" w:rsidRPr="00F07C12">
        <w:rPr>
          <w:rFonts w:ascii="Times New Roman" w:hAnsi="Times New Roman"/>
          <w:u w:val="single"/>
        </w:rPr>
        <w:t xml:space="preserve"> 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F40118">
        <w:rPr>
          <w:rFonts w:ascii="Times New Roman" w:hAnsi="Times New Roman"/>
          <w:b/>
        </w:rPr>
        <w:t>35.02.08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F40118">
        <w:rPr>
          <w:rFonts w:ascii="Times New Roman" w:hAnsi="Times New Roman"/>
          <w:b/>
          <w:u w:val="single"/>
        </w:rPr>
        <w:t>Электрификация и автоматизация сельского хозяйства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BC" w:rsidRDefault="00872FBC" w:rsidP="00627B9E">
      <w:pPr>
        <w:spacing w:after="0" w:line="240" w:lineRule="auto"/>
      </w:pPr>
      <w:r>
        <w:separator/>
      </w:r>
    </w:p>
  </w:endnote>
  <w:endnote w:type="continuationSeparator" w:id="0">
    <w:p w:rsidR="00872FBC" w:rsidRDefault="00872FBC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E25F91" w:rsidRDefault="00E25F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20">
          <w:rPr>
            <w:noProof/>
          </w:rPr>
          <w:t>29</w:t>
        </w:r>
        <w:r>
          <w:fldChar w:fldCharType="end"/>
        </w:r>
      </w:p>
    </w:sdtContent>
  </w:sdt>
  <w:p w:rsidR="00E25F91" w:rsidRDefault="00E25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BC" w:rsidRDefault="00872FBC" w:rsidP="00627B9E">
      <w:pPr>
        <w:spacing w:after="0" w:line="240" w:lineRule="auto"/>
      </w:pPr>
      <w:r>
        <w:separator/>
      </w:r>
    </w:p>
  </w:footnote>
  <w:footnote w:type="continuationSeparator" w:id="0">
    <w:p w:rsidR="00872FBC" w:rsidRDefault="00872FBC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D18F2"/>
    <w:rsid w:val="004132D8"/>
    <w:rsid w:val="004435DB"/>
    <w:rsid w:val="00485F5D"/>
    <w:rsid w:val="0049403E"/>
    <w:rsid w:val="004D21C4"/>
    <w:rsid w:val="00523DDB"/>
    <w:rsid w:val="00524CDC"/>
    <w:rsid w:val="005F74A0"/>
    <w:rsid w:val="00627B9E"/>
    <w:rsid w:val="00695CAB"/>
    <w:rsid w:val="007708F9"/>
    <w:rsid w:val="00872FBC"/>
    <w:rsid w:val="00970DB2"/>
    <w:rsid w:val="00973420"/>
    <w:rsid w:val="00991727"/>
    <w:rsid w:val="00A31851"/>
    <w:rsid w:val="00AA29D2"/>
    <w:rsid w:val="00C85610"/>
    <w:rsid w:val="00CA675C"/>
    <w:rsid w:val="00D94D20"/>
    <w:rsid w:val="00DA336C"/>
    <w:rsid w:val="00DB2195"/>
    <w:rsid w:val="00DC0B85"/>
    <w:rsid w:val="00DD4641"/>
    <w:rsid w:val="00E25F91"/>
    <w:rsid w:val="00EF793B"/>
    <w:rsid w:val="00F07C12"/>
    <w:rsid w:val="00F40118"/>
    <w:rsid w:val="00F53872"/>
    <w:rsid w:val="00F61395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C58E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4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E25F9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BF4E-BBD7-4CE8-ADE7-813F257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11080</Words>
  <Characters>63160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2021-02-02T11:48:00Z</cp:lastPrinted>
  <dcterms:created xsi:type="dcterms:W3CDTF">2019-11-20T12:56:00Z</dcterms:created>
  <dcterms:modified xsi:type="dcterms:W3CDTF">2021-02-02T11:50:00Z</dcterms:modified>
</cp:coreProperties>
</file>