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6C0251" w:rsidRPr="00AA29D2" w:rsidRDefault="00AA29D2" w:rsidP="006C0251">
      <w:pPr>
        <w:pStyle w:val="11"/>
        <w:tabs>
          <w:tab w:val="left" w:pos="5760"/>
        </w:tabs>
        <w:ind w:left="0" w:right="0" w:firstLine="567"/>
        <w:jc w:val="right"/>
        <w:rPr>
          <w:szCs w:val="24"/>
        </w:rPr>
      </w:pPr>
      <w:r w:rsidRPr="00D761C3">
        <w:rPr>
          <w:sz w:val="26"/>
        </w:rPr>
        <w:tab/>
      </w:r>
      <w:r w:rsidR="006C0251" w:rsidRPr="00AA29D2">
        <w:rPr>
          <w:szCs w:val="24"/>
        </w:rPr>
        <w:t>УТВЕРЖДАЮ</w:t>
      </w:r>
    </w:p>
    <w:p w:rsidR="006C0251" w:rsidRPr="00AA29D2" w:rsidRDefault="006C0251" w:rsidP="006C0251">
      <w:pPr>
        <w:pStyle w:val="1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r>
        <w:rPr>
          <w:szCs w:val="24"/>
        </w:rPr>
        <w:t>Директор</w:t>
      </w:r>
      <w:r w:rsidRPr="00AA29D2">
        <w:rPr>
          <w:szCs w:val="24"/>
        </w:rPr>
        <w:t xml:space="preserve"> ГПОАУ ЯО Ростовского колледжа отраслевых технологий</w:t>
      </w:r>
    </w:p>
    <w:p w:rsidR="006C0251" w:rsidRPr="00AA29D2" w:rsidRDefault="006C0251" w:rsidP="006C025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 xml:space="preserve">_________ </w:t>
      </w:r>
      <w:proofErr w:type="spellStart"/>
      <w:r>
        <w:rPr>
          <w:b w:val="0"/>
          <w:sz w:val="24"/>
          <w:szCs w:val="24"/>
        </w:rPr>
        <w:t>Т.Н.Кудрявцева</w:t>
      </w:r>
      <w:proofErr w:type="spellEnd"/>
    </w:p>
    <w:p w:rsidR="006C0251" w:rsidRDefault="006C0251" w:rsidP="006C025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«____» _</w:t>
      </w:r>
      <w:r>
        <w:rPr>
          <w:b w:val="0"/>
          <w:sz w:val="24"/>
          <w:szCs w:val="24"/>
        </w:rPr>
        <w:t>__________2020</w:t>
      </w:r>
      <w:r w:rsidRPr="00AA29D2">
        <w:rPr>
          <w:b w:val="0"/>
          <w:sz w:val="24"/>
          <w:szCs w:val="24"/>
        </w:rPr>
        <w:t>г.</w:t>
      </w:r>
    </w:p>
    <w:p w:rsidR="00AA29D2" w:rsidRDefault="00AA29D2" w:rsidP="006C0251">
      <w:pPr>
        <w:pStyle w:val="11"/>
        <w:ind w:left="0" w:right="0" w:firstLine="567"/>
        <w:jc w:val="both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C17D4B" w:rsidP="00AA29D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43.02.11 Гостиничный сервис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E25F91">
        <w:rPr>
          <w:rFonts w:ascii="Times New Roman" w:hAnsi="Times New Roman"/>
        </w:rPr>
        <w:t>«СОГЛАСОВАНА с работодателем»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(должность, наименование предприятия)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(Ф. И. О., подпись)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«___» _____________ 20__года</w:t>
      </w:r>
    </w:p>
    <w:p w:rsidR="006C0251" w:rsidRPr="00E25F91" w:rsidRDefault="006C0251" w:rsidP="006C02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29D2" w:rsidRDefault="006C0251" w:rsidP="006C0251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  <w:r w:rsidRPr="00E25F91">
        <w:rPr>
          <w:sz w:val="22"/>
        </w:rPr>
        <w:t>М.П.</w:t>
      </w: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6C025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2020</w:t>
      </w:r>
      <w:r w:rsidR="00AA29D2" w:rsidRPr="00991727">
        <w:rPr>
          <w:i w:val="0"/>
          <w:noProof/>
          <w:sz w:val="24"/>
          <w:szCs w:val="28"/>
        </w:rPr>
        <w:t>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C17D4B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Краснова И.А.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43.02.11 Гостиничный сервис</w:t>
      </w:r>
    </w:p>
    <w:p w:rsidR="0009330C" w:rsidRDefault="00C17D4B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Репина Л.В.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6C0251" w:rsidRDefault="006C0251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6C0251" w:rsidRDefault="006C0251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proofErr w:type="gramStart"/>
      <w:r w:rsidRPr="00C85610">
        <w:rPr>
          <w:rFonts w:ascii="Times New Roman" w:hAnsi="Times New Roman"/>
          <w:b/>
        </w:rPr>
        <w:t>3.Нормативная</w:t>
      </w:r>
      <w:proofErr w:type="gramEnd"/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6C0251" w:rsidRPr="00C85610" w:rsidRDefault="006C0251" w:rsidP="006C0251">
      <w:pPr>
        <w:spacing w:after="0"/>
        <w:ind w:right="-14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C0251" w:rsidRPr="00C85610" w:rsidRDefault="006C0251" w:rsidP="006C0251">
      <w:pPr>
        <w:spacing w:after="0"/>
        <w:ind w:righ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C0251" w:rsidRPr="00C85610" w:rsidRDefault="006C0251" w:rsidP="006C0251">
      <w:pPr>
        <w:spacing w:after="0"/>
        <w:ind w:right="-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C0251" w:rsidRPr="00C85610" w:rsidRDefault="006C0251" w:rsidP="006C0251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C0251" w:rsidRPr="00C85610" w:rsidRDefault="006C0251" w:rsidP="006C0251">
      <w:pPr>
        <w:spacing w:after="0"/>
        <w:ind w:right="-14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C0251" w:rsidRPr="009D62F3" w:rsidRDefault="006C0251" w:rsidP="006C0251">
      <w:pPr>
        <w:pStyle w:val="15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6C0251" w:rsidRPr="00C85610" w:rsidRDefault="006C0251" w:rsidP="006C0251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ания и науки РФ от 11 августа 2014 г. № 965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C17D4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07.05.2014 № 475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C0251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C17D4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43.02.11 Гостиничный сервис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01</w:t>
      </w:r>
      <w:r w:rsidRPr="00C17D4B"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 xml:space="preserve">ВПД 02 </w:t>
      </w:r>
      <w:r w:rsidRPr="00C17D4B"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03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lastRenderedPageBreak/>
        <w:t>ВПД 04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05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 xml:space="preserve">Выполнение работ по одной или нескольким профессиям </w:t>
      </w:r>
      <w:r>
        <w:rPr>
          <w:rFonts w:ascii="Times New Roman" w:hAnsi="Times New Roman"/>
          <w:sz w:val="24"/>
          <w:szCs w:val="24"/>
        </w:rPr>
        <w:t>рабочих, должностям служащих.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Выпускник, освоивший ОПОП СПО по специальности 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3. Принимать решения в стандартных и нестандартных ситуациях и нести за них ответственность.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6. Работать в коллективе и команде, эффективно общаться </w:t>
      </w:r>
      <w:r w:rsidRPr="00C85610">
        <w:rPr>
          <w:sz w:val="22"/>
          <w:szCs w:val="22"/>
        </w:rPr>
        <w:br/>
        <w:t>с коллегами, руководством, потребителями.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9. Ориентироваться в условиях смены технологий </w:t>
      </w:r>
      <w:r w:rsidRPr="00C85610">
        <w:rPr>
          <w:sz w:val="22"/>
          <w:szCs w:val="22"/>
        </w:rPr>
        <w:br/>
        <w:t>в профессиональной деятельности.</w:t>
      </w:r>
    </w:p>
    <w:p w:rsidR="00627B9E" w:rsidRPr="00DD4641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17D4B" w:rsidRDefault="00C17D4B" w:rsidP="00C17D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0" w:name="sub_15211"/>
      <w:r>
        <w:rPr>
          <w:rFonts w:ascii="Times New Roman" w:hAnsi="Times New Roman"/>
          <w:sz w:val="24"/>
          <w:szCs w:val="24"/>
        </w:rPr>
        <w:t xml:space="preserve"> ПК 1.1. Принимать заказ от потребителей и оформлять его.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" w:name="sub_15212"/>
      <w:bookmarkEnd w:id="0"/>
      <w:r>
        <w:rPr>
          <w:rFonts w:ascii="Times New Roman" w:hAnsi="Times New Roman"/>
          <w:sz w:val="24"/>
          <w:szCs w:val="24"/>
        </w:rPr>
        <w:t xml:space="preserve"> ПК 1.2. Бронировать и вести документацию.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2" w:name="sub_15213"/>
      <w:bookmarkEnd w:id="1"/>
      <w:r>
        <w:rPr>
          <w:rFonts w:ascii="Times New Roman" w:hAnsi="Times New Roman"/>
          <w:sz w:val="24"/>
          <w:szCs w:val="24"/>
        </w:rPr>
        <w:t xml:space="preserve"> ПК 1.3. Информировать потребителя о бронировании.</w:t>
      </w:r>
      <w:bookmarkEnd w:id="2"/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" w:name="sub_15221"/>
      <w:r>
        <w:rPr>
          <w:rFonts w:ascii="Times New Roman" w:hAnsi="Times New Roman"/>
          <w:sz w:val="24"/>
          <w:szCs w:val="24"/>
        </w:rPr>
        <w:t xml:space="preserve"> ПК 2.1. Принимать, регистрировать и размещать гостей.</w:t>
      </w:r>
    </w:p>
    <w:bookmarkEnd w:id="3"/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2.2. Предоставлять гостю информацию о гостиничных услугах.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4" w:name="sub_15223"/>
      <w:r>
        <w:rPr>
          <w:rFonts w:ascii="Times New Roman" w:hAnsi="Times New Roman"/>
          <w:sz w:val="24"/>
          <w:szCs w:val="24"/>
        </w:rPr>
        <w:t xml:space="preserve"> ПК 2.3. Принимать участие в заключении договоров об оказании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5" w:name="sub_15224"/>
      <w:bookmarkEnd w:id="4"/>
      <w:r>
        <w:rPr>
          <w:rFonts w:ascii="Times New Roman" w:hAnsi="Times New Roman"/>
          <w:sz w:val="24"/>
          <w:szCs w:val="24"/>
        </w:rPr>
        <w:t xml:space="preserve"> ПК 2.4. Обеспечивать выполнение договоров об оказании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6" w:name="sub_15225"/>
      <w:bookmarkEnd w:id="5"/>
      <w:r>
        <w:rPr>
          <w:rFonts w:ascii="Times New Roman" w:hAnsi="Times New Roman"/>
          <w:sz w:val="24"/>
          <w:szCs w:val="24"/>
        </w:rPr>
        <w:t xml:space="preserve"> ПК 2.5. Производить расчеты с гостями, организовывать отъезд и проводы гостей.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7" w:name="sub_15226"/>
      <w:bookmarkEnd w:id="6"/>
      <w:r>
        <w:rPr>
          <w:rFonts w:ascii="Times New Roman" w:hAnsi="Times New Roman"/>
          <w:sz w:val="24"/>
          <w:szCs w:val="24"/>
        </w:rPr>
        <w:t xml:space="preserve"> ПК 2.6. Координировать процесс ночного аудита и передачи дел по окончании смены.</w:t>
      </w:r>
    </w:p>
    <w:bookmarkEnd w:id="7"/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8" w:name="sub_15231"/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9" w:name="sub_15232"/>
      <w:bookmarkEnd w:id="8"/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0" w:name="sub_15233"/>
      <w:bookmarkEnd w:id="9"/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1" w:name="sub_15234"/>
      <w:bookmarkEnd w:id="10"/>
      <w:r>
        <w:rPr>
          <w:rFonts w:ascii="Times New Roman" w:hAnsi="Times New Roman"/>
          <w:sz w:val="24"/>
          <w:szCs w:val="24"/>
        </w:rPr>
        <w:lastRenderedPageBreak/>
        <w:t>ПК 3.4. Создавать условия для обеспечения сохранности вещей и ценностей проживающих.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bookmarkEnd w:id="11"/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970DB2" w:rsidRPr="008E2161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C17D4B" w:rsidRPr="00C17D4B" w:rsidRDefault="00627B9E" w:rsidP="00C17D4B">
      <w:pPr>
        <w:spacing w:after="0"/>
        <w:ind w:right="282" w:firstLine="567"/>
        <w:jc w:val="both"/>
        <w:rPr>
          <w:rFonts w:ascii="Times New Roman" w:hAnsi="Times New Roman"/>
          <w:sz w:val="24"/>
        </w:rPr>
      </w:pPr>
      <w:r w:rsidRPr="00C17D4B">
        <w:rPr>
          <w:rFonts w:ascii="Times New Roman" w:hAnsi="Times New Roman"/>
        </w:rPr>
        <w:t xml:space="preserve">Формой государственной итоговой аттестации по специальности </w:t>
      </w:r>
      <w:r w:rsidR="00C17D4B" w:rsidRP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17D4B" w:rsidRDefault="00627B9E" w:rsidP="00C17D4B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17D4B">
        <w:rPr>
          <w:sz w:val="22"/>
          <w:szCs w:val="22"/>
        </w:rPr>
        <w:t>является защита выпускной квалификационной работы (далее ВКР).</w:t>
      </w:r>
      <w:r w:rsidRPr="00C17D4B">
        <w:rPr>
          <w:b/>
          <w:sz w:val="22"/>
          <w:szCs w:val="22"/>
        </w:rPr>
        <w:t xml:space="preserve">  </w:t>
      </w:r>
      <w:r w:rsidRPr="00C17D4B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30"/>
        <w:gridCol w:w="5103"/>
      </w:tblGrid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lastRenderedPageBreak/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Тема выпускной квалификационной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Наименование профессиональных модулей,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отражаемых в работе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pStyle w:val="a3"/>
              <w:numPr>
                <w:ilvl w:val="0"/>
                <w:numId w:val="26"/>
              </w:numPr>
              <w:jc w:val="left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Интерьер, как элемент имиджа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904882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Изучение особенностей работы службы </w:t>
            </w:r>
            <w:proofErr w:type="spellStart"/>
            <w:r w:rsidRPr="006C0251">
              <w:rPr>
                <w:rFonts w:ascii="Times New Roman" w:hAnsi="Times New Roman"/>
                <w:bCs/>
              </w:rPr>
              <w:t>Housekeeping</w:t>
            </w:r>
            <w:proofErr w:type="spellEnd"/>
            <w:r w:rsidRPr="006C0251">
              <w:rPr>
                <w:rFonts w:ascii="Times New Roman" w:hAnsi="Times New Roman"/>
                <w:bCs/>
              </w:rPr>
              <w:t xml:space="preserve"> в отеле и разработка мероприятий по ее совершенствованию.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Организация и предоставление дополнительных услуг в деятельности малых гостиниц.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проживания.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Фирменный стиль в гостеприимстве.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ПМ.04 Продажи гостиничного продукта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Управление персоналом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Контроль как функция управления и её особенности в сфере туризма.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Организация обслуживания иностранных туристов в гостинице.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lastRenderedPageBreak/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Управление качеством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Предупреждение стрессов среди работников сферы обслуживания.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Конфликты в гостиничной индустрии и пути их разрешения.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Организация и эффективность рекламы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Создание гостиницы для животных, как специфического сегмента гостиничного бизнеса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Коммуникативная деятельность как фактор продвижения </w:t>
            </w:r>
            <w:proofErr w:type="spellStart"/>
            <w:r w:rsidRPr="006C0251">
              <w:rPr>
                <w:rFonts w:ascii="Times New Roman" w:hAnsi="Times New Roman"/>
                <w:bCs/>
              </w:rPr>
              <w:t>гостиничныхуслуг</w:t>
            </w:r>
            <w:proofErr w:type="spellEnd"/>
            <w:r w:rsidRPr="006C02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lastRenderedPageBreak/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Обучение персонала на предприятиях индустрии гостеприимства.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Совершенствование качества обслуживания гостей в отеле.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Совершенствование организации службы питания в гостиницах.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Мотивация как функция управления и её особенности в сфере туризма.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Организация уборочных работ в гостинице.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Формирование программы лояльности в гостинице.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Анимационная деятельность в отелях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PR – деятельность в гостинице.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Позиционирование и </w:t>
            </w:r>
            <w:proofErr w:type="spellStart"/>
            <w:r w:rsidRPr="006C0251">
              <w:rPr>
                <w:rFonts w:ascii="Times New Roman" w:hAnsi="Times New Roman"/>
                <w:bCs/>
              </w:rPr>
              <w:t>Брендинг</w:t>
            </w:r>
            <w:proofErr w:type="spellEnd"/>
            <w:r w:rsidRPr="006C0251">
              <w:rPr>
                <w:rFonts w:ascii="Times New Roman" w:hAnsi="Times New Roman"/>
                <w:bCs/>
              </w:rPr>
              <w:t xml:space="preserve"> услуг гостеприимства.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ПМ.04 Продажи гостиничного продукта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ПМ.01 Бронирование гостиничных услуг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lastRenderedPageBreak/>
              <w:t>ПМ.02 Прием, размещение и выписка гостей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lastRenderedPageBreak/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Конкурентоспособные преимущества в индустрии гостеприимства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ПМ.01 Бронирование гостиничных услуг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 02 Прием, размещение и выписка гостей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ПМ.03 Организация обслуживания гостей в процессе проживания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ПМ.04 Продажи гостиничного продукта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Хостелы г. Ростова: проблемы и перспективы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ПМ.02 Прием, размещение и выписка гостей.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Управление рисками в гостиничном бизнесе.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ПМ.02 Прием, размещение и выписка гостей.</w:t>
            </w: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Предпринимательская деятельность в сфере гостиничного бизнеса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ПМ.01 Бронирование гостиничных услуг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 ПМ.02 Прием, размещение и выписка гостей </w:t>
            </w:r>
          </w:p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ПМ.03 Организация обслуживания гостей в процессе проживания </w:t>
            </w:r>
          </w:p>
        </w:tc>
      </w:tr>
      <w:tr w:rsidR="006C0251" w:rsidRPr="00A87B15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ПМ.04 Продажи гостиничного продукта </w:t>
            </w:r>
          </w:p>
          <w:p w:rsidR="006C0251" w:rsidRPr="006C0251" w:rsidRDefault="006C0251" w:rsidP="006C0251">
            <w:pPr>
              <w:autoSpaceDE w:val="0"/>
              <w:autoSpaceDN w:val="0"/>
              <w:adjustRightInd w:val="0"/>
              <w:spacing w:after="0"/>
              <w:ind w:right="-144" w:firstLine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C0251" w:rsidRPr="00830057" w:rsidTr="006C025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51" w:rsidRPr="006C0251" w:rsidRDefault="006C0251" w:rsidP="006C0251">
            <w:pPr>
              <w:ind w:right="-144" w:firstLine="34"/>
              <w:jc w:val="both"/>
              <w:rPr>
                <w:rFonts w:ascii="Times New Roman" w:hAnsi="Times New Roman"/>
                <w:bCs/>
              </w:rPr>
            </w:pPr>
            <w:r w:rsidRPr="006C0251">
              <w:rPr>
                <w:rFonts w:ascii="Times New Roman" w:hAnsi="Times New Roman"/>
                <w:bCs/>
              </w:rPr>
              <w:t xml:space="preserve">ПМ.04 Продажи гостиничного продукта </w:t>
            </w:r>
          </w:p>
        </w:tc>
      </w:tr>
    </w:tbl>
    <w:p w:rsidR="00612352" w:rsidRDefault="00612352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3A5D32">
        <w:rPr>
          <w:rFonts w:ascii="Times New Roman" w:hAnsi="Times New Roman"/>
          <w:lang w:eastAsia="ko-KR"/>
        </w:rPr>
        <w:t>ПЦК ГС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C0251" w:rsidRDefault="006C0251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C0251" w:rsidRDefault="006C0251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lastRenderedPageBreak/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A41646" w:rsidRDefault="00627B9E" w:rsidP="00A41646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A41646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A41646" w:rsidP="00A41646">
      <w:pPr>
        <w:spacing w:after="0"/>
        <w:ind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7B9E"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="00627B9E" w:rsidRPr="00C85610">
        <w:rPr>
          <w:rFonts w:ascii="Times New Roman" w:hAnsi="Times New Roman"/>
        </w:rPr>
        <w:t>;</w:t>
      </w:r>
    </w:p>
    <w:p w:rsidR="00627B9E" w:rsidRPr="00C85610" w:rsidRDefault="00A41646" w:rsidP="00A41646">
      <w:pPr>
        <w:autoSpaceDE w:val="0"/>
        <w:autoSpaceDN w:val="0"/>
        <w:adjustRightInd w:val="0"/>
        <w:spacing w:after="0" w:line="240" w:lineRule="auto"/>
        <w:ind w:left="56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7B9E"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067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2.1- 2.4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4.1-4.4</w:t>
            </w:r>
          </w:p>
          <w:p w:rsidR="00627B9E" w:rsidRPr="00C85610" w:rsidRDefault="00627B9E" w:rsidP="00C85610">
            <w:pPr>
              <w:widowControl w:val="0"/>
              <w:ind w:left="-142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ВПД.01 Участие в проектировании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bCs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</w:t>
            </w:r>
            <w:r w:rsidR="00D94D20" w:rsidRPr="00DC0B85">
              <w:rPr>
                <w:sz w:val="22"/>
                <w:szCs w:val="22"/>
              </w:rPr>
              <w:t>02 Выполнение</w:t>
            </w:r>
            <w:r w:rsidRPr="00DC0B85">
              <w:rPr>
                <w:bCs/>
                <w:sz w:val="22"/>
                <w:szCs w:val="22"/>
              </w:rPr>
              <w:t xml:space="preserve"> технологических процессов при строительстве, эксплуатации и реконструкции строительных объектов.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ВПД.04 Организация видов работ при эксплуатации и реконструкции строительных объектов.</w:t>
            </w:r>
          </w:p>
          <w:p w:rsidR="00627B9E" w:rsidRPr="00C85610" w:rsidRDefault="00DC0B85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FF34D2" w:rsidRPr="00C85610" w:rsidRDefault="00FF34D2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0"/>
      </w:tblGrid>
      <w:tr w:rsidR="00627B9E" w:rsidRPr="00C85610" w:rsidTr="00357C17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840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357C17">
        <w:trPr>
          <w:trHeight w:val="268"/>
        </w:trPr>
        <w:tc>
          <w:tcPr>
            <w:tcW w:w="9067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357C17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357C17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357C17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357C17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Рецензия на ВКР (Приложение 6)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членов ГЭК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C0251" w:rsidRPr="00C85610" w:rsidRDefault="006C0251" w:rsidP="00627B9E">
      <w:pPr>
        <w:spacing w:after="0"/>
        <w:ind w:right="282" w:firstLine="567"/>
        <w:rPr>
          <w:rFonts w:ascii="Times New Roman" w:hAnsi="Times New Roman"/>
          <w:b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C0251" w:rsidRPr="00C85610" w:rsidRDefault="006C0251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A41646">
        <w:trPr>
          <w:trHeight w:val="1470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p w:rsidR="006C0251" w:rsidRPr="00C85610" w:rsidRDefault="006C0251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F43E2" w:rsidRPr="00C85610" w:rsidRDefault="006F43E2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pPr w:leftFromText="180" w:rightFromText="180" w:vertAnchor="page" w:horzAnchor="margin" w:tblpX="-777" w:tblpY="616"/>
        <w:tblW w:w="10456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424"/>
        <w:gridCol w:w="376"/>
        <w:gridCol w:w="1260"/>
        <w:gridCol w:w="349"/>
        <w:gridCol w:w="425"/>
        <w:gridCol w:w="567"/>
        <w:gridCol w:w="850"/>
        <w:gridCol w:w="567"/>
        <w:gridCol w:w="426"/>
        <w:gridCol w:w="708"/>
        <w:gridCol w:w="287"/>
        <w:gridCol w:w="1077"/>
        <w:gridCol w:w="624"/>
        <w:gridCol w:w="567"/>
        <w:gridCol w:w="583"/>
        <w:gridCol w:w="409"/>
      </w:tblGrid>
      <w:tr w:rsidR="006F43E2" w:rsidRPr="00A40663" w:rsidTr="006F43E2">
        <w:trPr>
          <w:trHeight w:val="568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FE">
              <w:rPr>
                <w:rFonts w:ascii="Times New Roman" w:hAnsi="Times New Roman"/>
                <w:sz w:val="28"/>
                <w:szCs w:val="28"/>
              </w:rPr>
              <w:t>Департамент образования Ярославской области</w:t>
            </w:r>
          </w:p>
        </w:tc>
      </w:tr>
      <w:tr w:rsidR="006F43E2" w:rsidRPr="00A40663" w:rsidTr="006F43E2">
        <w:trPr>
          <w:trHeight w:val="384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FE">
              <w:rPr>
                <w:rFonts w:ascii="Times New Roman" w:hAnsi="Times New Roman"/>
                <w:sz w:val="28"/>
                <w:szCs w:val="28"/>
              </w:rPr>
              <w:t>ГПОАУ   ЯО Ростовский колледж отраслевых технологий</w:t>
            </w:r>
          </w:p>
        </w:tc>
      </w:tr>
      <w:tr w:rsidR="006F43E2" w:rsidRPr="00A40663" w:rsidTr="006F43E2">
        <w:trPr>
          <w:trHeight w:val="384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УТВЕРЖДАЮ</w:t>
            </w: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 xml:space="preserve">  на заседании предметно-цикловой комиссии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Заместитель директора по УМР</w:t>
            </w: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  43.02.11</w:t>
            </w:r>
            <w:r w:rsidRPr="00C035FE"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vMerge w:val="restart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Рыбина В. В.</w:t>
            </w:r>
          </w:p>
        </w:tc>
      </w:tr>
      <w:tr w:rsidR="006F43E2" w:rsidRPr="00A40663" w:rsidTr="006F43E2">
        <w:trPr>
          <w:trHeight w:val="452"/>
        </w:trPr>
        <w:tc>
          <w:tcPr>
            <w:tcW w:w="1757" w:type="dxa"/>
            <w:gridSpan w:val="4"/>
            <w:tcBorders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left w:val="nil"/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FE">
              <w:rPr>
                <w:rFonts w:ascii="Times New Roman" w:hAnsi="Times New Roman"/>
                <w:sz w:val="24"/>
                <w:szCs w:val="24"/>
              </w:rPr>
              <w:t>И.А.Краснова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vMerge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83" w:type="dxa"/>
            <w:gridSpan w:val="4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391" w:type="dxa"/>
            <w:vAlign w:val="bottom"/>
          </w:tcPr>
          <w:p w:rsidR="006F43E2" w:rsidRPr="00C035FE" w:rsidRDefault="006F43E2" w:rsidP="006F43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035FE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C035F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г.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43E2" w:rsidRPr="00C035FE" w:rsidRDefault="006F43E2" w:rsidP="006F43E2">
            <w:pPr>
              <w:spacing w:after="0" w:line="240" w:lineRule="auto"/>
            </w:pPr>
            <w:r w:rsidRPr="00C035FE">
              <w:t>«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6F43E2" w:rsidRPr="00C035FE" w:rsidRDefault="006F43E2" w:rsidP="006F43E2">
            <w:pPr>
              <w:spacing w:after="0" w:line="240" w:lineRule="auto"/>
              <w:rPr>
                <w:spacing w:val="-1"/>
              </w:rPr>
            </w:pPr>
            <w:r w:rsidRPr="00C035FE">
              <w:rPr>
                <w:spacing w:val="-1"/>
              </w:rPr>
              <w:t>»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20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г.</w:t>
            </w:r>
          </w:p>
        </w:tc>
      </w:tr>
      <w:tr w:rsidR="006F43E2" w:rsidRPr="00C035FE" w:rsidTr="006F43E2">
        <w:trPr>
          <w:trHeight w:val="10174"/>
        </w:trPr>
        <w:tc>
          <w:tcPr>
            <w:tcW w:w="10456" w:type="dxa"/>
            <w:gridSpan w:val="18"/>
            <w:vAlign w:val="center"/>
          </w:tcPr>
          <w:p w:rsidR="006F43E2" w:rsidRDefault="006F43E2"/>
          <w:tbl>
            <w:tblPr>
              <w:tblW w:w="139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41"/>
              <w:gridCol w:w="1848"/>
              <w:gridCol w:w="272"/>
              <w:gridCol w:w="283"/>
              <w:gridCol w:w="709"/>
              <w:gridCol w:w="283"/>
              <w:gridCol w:w="302"/>
              <w:gridCol w:w="124"/>
              <w:gridCol w:w="18"/>
              <w:gridCol w:w="143"/>
              <w:gridCol w:w="690"/>
              <w:gridCol w:w="236"/>
              <w:gridCol w:w="755"/>
              <w:gridCol w:w="1589"/>
              <w:gridCol w:w="254"/>
              <w:gridCol w:w="408"/>
              <w:gridCol w:w="3733"/>
            </w:tblGrid>
            <w:tr w:rsidR="006F43E2" w:rsidRPr="00C035FE" w:rsidTr="006F43E2">
              <w:trPr>
                <w:gridAfter w:val="3"/>
                <w:wAfter w:w="4395" w:type="dxa"/>
                <w:trHeight w:val="1599"/>
              </w:trPr>
              <w:tc>
                <w:tcPr>
                  <w:tcW w:w="952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40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ЗАДАНИЕ </w:t>
                  </w:r>
                </w:p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40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>НА ВЫПУСКНУЮ КВАЛИФИКАЦИОННУЮ РАБОТУ</w:t>
                  </w:r>
                </w:p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443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Студенту (</w:t>
                  </w:r>
                  <w:proofErr w:type="spellStart"/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ке</w:t>
                  </w:r>
                  <w:proofErr w:type="spellEnd"/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25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469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725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>43.02.11 Гостиничный сервис</w:t>
                  </w: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208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52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(код и наименование специальности)</w:t>
                  </w:r>
                </w:p>
              </w:tc>
            </w:tr>
            <w:tr w:rsidR="006F43E2" w:rsidRPr="00C035FE" w:rsidTr="006F43E2">
              <w:trPr>
                <w:trHeight w:val="443"/>
              </w:trPr>
              <w:tc>
                <w:tcPr>
                  <w:tcW w:w="60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выпускной квалификационной работы:</w:t>
                  </w:r>
                </w:p>
              </w:tc>
              <w:tc>
                <w:tcPr>
                  <w:tcW w:w="782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69"/>
              </w:trPr>
              <w:tc>
                <w:tcPr>
                  <w:tcW w:w="9781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pStyle w:val="1"/>
                    <w:framePr w:hSpace="180" w:wrap="around" w:vAnchor="page" w:hAnchor="margin" w:x="-777" w:y="616"/>
                    <w:shd w:val="clear" w:color="auto" w:fill="FFFFFF"/>
                    <w:spacing w:before="0" w:beforeAutospacing="0" w:after="0" w:afterAutospacing="0" w:line="276" w:lineRule="auto"/>
                    <w:textAlignment w:val="baseline"/>
                    <w:rPr>
                      <w:b w:val="0"/>
                      <w:sz w:val="28"/>
                      <w:szCs w:val="28"/>
                      <w:lang w:val="ru-RU" w:eastAsia="ru-RU"/>
                    </w:rPr>
                  </w:pPr>
                  <w:r w:rsidRPr="00C035FE">
                    <w:rPr>
                      <w:b w:val="0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387"/>
              </w:trPr>
              <w:tc>
                <w:tcPr>
                  <w:tcW w:w="9781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08"/>
              </w:trPr>
              <w:tc>
                <w:tcPr>
                  <w:tcW w:w="61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FF34D2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Перечень вопросов, подлежащих разработке:</w:t>
                  </w: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1.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>Теоретическая часть.</w:t>
                  </w:r>
                  <w:r w:rsidRPr="00C035FE">
                    <w:rPr>
                      <w:sz w:val="26"/>
                      <w:szCs w:val="26"/>
                    </w:rPr>
                    <w:t xml:space="preserve"> </w:t>
                  </w:r>
                  <w:r w:rsidRPr="00C035FE">
                    <w:rPr>
                      <w:sz w:val="28"/>
                      <w:szCs w:val="28"/>
                    </w:rPr>
                    <w:t xml:space="preserve"> </w:t>
                  </w: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2.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Аналитическая часть.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Проектная часть.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69"/>
              </w:trPr>
              <w:tc>
                <w:tcPr>
                  <w:tcW w:w="412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выпускной квалификационной работы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145"/>
              </w:trPr>
              <w:tc>
                <w:tcPr>
                  <w:tcW w:w="4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ind w:firstLine="1168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(Ф.И.О.)</w:t>
                  </w:r>
                </w:p>
              </w:tc>
            </w:tr>
            <w:tr w:rsidR="006F43E2" w:rsidRPr="00C035FE" w:rsidTr="006F43E2">
              <w:trPr>
                <w:gridAfter w:val="1"/>
                <w:wAfter w:w="3733" w:type="dxa"/>
                <w:trHeight w:val="137"/>
              </w:trPr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Дата выдачи задания</w:t>
                  </w:r>
                </w:p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Срок окончания выполнения работы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C025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F43E2" w:rsidRPr="00C035FE" w:rsidTr="006F43E2">
              <w:trPr>
                <w:gridAfter w:val="1"/>
                <w:wAfter w:w="3733" w:type="dxa"/>
                <w:trHeight w:val="394"/>
              </w:trPr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C025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C0251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3E2" w:rsidRPr="00C035FE" w:rsidRDefault="006F43E2" w:rsidP="006F43E2">
      <w:pPr>
        <w:spacing w:after="0" w:line="240" w:lineRule="auto"/>
        <w:rPr>
          <w:sz w:val="20"/>
          <w:szCs w:val="20"/>
        </w:rPr>
      </w:pPr>
    </w:p>
    <w:p w:rsidR="00627B9E" w:rsidRDefault="00627B9E" w:rsidP="00627B9E"/>
    <w:p w:rsidR="00FF34D2" w:rsidRPr="00C85610" w:rsidRDefault="00FF34D2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A41646" w:rsidRDefault="00627B9E" w:rsidP="00A41646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A41646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</w:t>
      </w:r>
      <w:r w:rsidR="006C0251" w:rsidRPr="00C85610">
        <w:rPr>
          <w:rFonts w:ascii="Times New Roman" w:eastAsia="Times New Roman" w:hAnsi="Times New Roman"/>
          <w:spacing w:val="6"/>
        </w:rPr>
        <w:t>практики;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FF34D2">
        <w:rPr>
          <w:rFonts w:ascii="Times New Roman" w:eastAsia="Times New Roman" w:hAnsi="Times New Roman"/>
        </w:rPr>
        <w:t xml:space="preserve">методической </w:t>
      </w:r>
      <w:r w:rsidR="00FF34D2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A41646" w:rsidRDefault="00A41646" w:rsidP="00A41646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A41646" w:rsidRDefault="00A41646" w:rsidP="00A41646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A41646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A41646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6C0251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6C0251" w:rsidRPr="00C85610">
        <w:rPr>
          <w:rFonts w:ascii="Times New Roman" w:hAnsi="Times New Roman"/>
          <w:spacing w:val="6"/>
          <w:lang w:eastAsia="ru-RU"/>
        </w:rPr>
        <w:t>результатов,</w:t>
      </w:r>
      <w:r w:rsidR="00FF34D2">
        <w:rPr>
          <w:rFonts w:ascii="Times New Roman" w:hAnsi="Times New Roman"/>
          <w:spacing w:val="6"/>
          <w:lang w:eastAsia="ru-RU"/>
        </w:rPr>
        <w:t xml:space="preserve"> выносимых на ГИА</w:t>
      </w:r>
      <w:r w:rsidR="003305E3" w:rsidRPr="00C85610">
        <w:rPr>
          <w:rFonts w:ascii="Times New Roman" w:hAnsi="Times New Roman"/>
          <w:spacing w:val="6"/>
          <w:lang w:eastAsia="ru-RU"/>
        </w:rPr>
        <w:t>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6C0251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6C0251" w:rsidRPr="00C85610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 xml:space="preserve"> (</w:t>
      </w:r>
      <w:r w:rsidR="006C0251" w:rsidRPr="00C85610">
        <w:rPr>
          <w:rFonts w:ascii="Times New Roman" w:hAnsi="Times New Roman"/>
          <w:lang w:eastAsia="ru-RU"/>
        </w:rPr>
        <w:t>Приложение)</w:t>
      </w:r>
      <w:r w:rsidRPr="00C85610">
        <w:rPr>
          <w:rFonts w:ascii="Times New Roman" w:hAnsi="Times New Roman"/>
          <w:lang w:eastAsia="ru-RU"/>
        </w:rPr>
        <w:t>.  Отметка в отзыве не выставляется.</w:t>
      </w:r>
    </w:p>
    <w:p w:rsidR="00FF34D2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</w:t>
      </w:r>
      <w:r w:rsidR="00FF34D2">
        <w:rPr>
          <w:rFonts w:ascii="Times New Roman" w:hAnsi="Times New Roman"/>
          <w:lang w:eastAsia="ru-RU"/>
        </w:rPr>
        <w:t xml:space="preserve">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FF34D2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FF34D2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r w:rsidR="00FF34D2">
        <w:rPr>
          <w:rFonts w:ascii="Times New Roman" w:hAnsi="Times New Roman"/>
          <w:lang w:eastAsia="ru-RU"/>
        </w:rPr>
        <w:t xml:space="preserve">по </w:t>
      </w:r>
      <w:proofErr w:type="spellStart"/>
      <w:r w:rsidR="00FF34D2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</w:t>
      </w:r>
      <w:r w:rsidR="00FF34D2">
        <w:rPr>
          <w:rFonts w:ascii="Times New Roman" w:hAnsi="Times New Roman"/>
          <w:lang w:eastAsia="ru-RU"/>
        </w:rPr>
        <w:t xml:space="preserve">методической </w:t>
      </w:r>
      <w:r w:rsidR="00FF34D2" w:rsidRPr="00C85610">
        <w:rPr>
          <w:rFonts w:ascii="Times New Roman" w:hAnsi="Times New Roman"/>
          <w:lang w:eastAsia="ru-RU"/>
        </w:rPr>
        <w:t>работе</w:t>
      </w:r>
      <w:r w:rsidRPr="00C85610">
        <w:rPr>
          <w:rFonts w:ascii="Times New Roman" w:hAnsi="Times New Roman"/>
          <w:lang w:eastAsia="ru-RU"/>
        </w:rPr>
        <w:t xml:space="preserve">   принимает решение о допуске студента к защите ВКР, о чем производится соответствующая запись на титульной стороне ВКР </w:t>
      </w:r>
      <w:r w:rsidR="00FF34D2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FF34D2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6F43E2" w:rsidRPr="00C85610">
        <w:rPr>
          <w:rFonts w:ascii="Times New Roman" w:hAnsi="Times New Roman"/>
          <w:lang w:eastAsia="ru-RU"/>
        </w:rPr>
        <w:t>исследования рекомендуется представлять</w:t>
      </w:r>
      <w:r w:rsidRPr="00C85610">
        <w:rPr>
          <w:rFonts w:ascii="Times New Roman" w:hAnsi="Times New Roman"/>
          <w:lang w:eastAsia="ru-RU"/>
        </w:rPr>
        <w:t xml:space="preserve"> обобщенные </w:t>
      </w:r>
      <w:r w:rsidR="006F43E2" w:rsidRPr="00C85610">
        <w:rPr>
          <w:rFonts w:ascii="Times New Roman" w:hAnsi="Times New Roman"/>
          <w:lang w:eastAsia="ru-RU"/>
        </w:rPr>
        <w:t>результаты исследования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r w:rsidR="006F43E2" w:rsidRPr="00C85610">
        <w:rPr>
          <w:rFonts w:ascii="Times New Roman" w:eastAsia="Times New Roman" w:hAnsi="Times New Roman"/>
          <w:lang w:eastAsia="ru-RU"/>
        </w:rPr>
        <w:t>видеокамерой</w:t>
      </w:r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F7591F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F7591F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Универсальное правило успешного публичного выступления: не допускать дисбаланса между тем, что вы говорите, и тем, как вы выглядите.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lastRenderedPageBreak/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6F43E2" w:rsidRDefault="006F43E2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6F43E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</w:t>
      </w:r>
      <w:r w:rsidR="00AA29D2">
        <w:rPr>
          <w:rFonts w:ascii="Times New Roman" w:eastAsia="Times New Roman" w:hAnsi="Times New Roman"/>
          <w:iCs/>
        </w:rPr>
        <w:t>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6F43E2" w:rsidRPr="006F43E2" w:rsidTr="006F43E2">
        <w:trPr>
          <w:trHeight w:val="298"/>
        </w:trPr>
        <w:tc>
          <w:tcPr>
            <w:tcW w:w="10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6F43E2" w:rsidRPr="006F43E2" w:rsidTr="006F43E2">
        <w:trPr>
          <w:trHeight w:val="298"/>
        </w:trPr>
        <w:tc>
          <w:tcPr>
            <w:tcW w:w="10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ГПОАУ ЯО Ростовский колледж отраслевых технологий</w:t>
            </w:r>
          </w:p>
        </w:tc>
      </w:tr>
    </w:tbl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E2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sz w:val="24"/>
          <w:szCs w:val="24"/>
        </w:rPr>
        <w:t>выпускной квалификационной работы</w:t>
      </w: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2768"/>
        <w:gridCol w:w="4912"/>
      </w:tblGrid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Студент (ка)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43.02.11 Гостиничный сервис</w:t>
            </w:r>
          </w:p>
        </w:tc>
      </w:tr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(код и наименование специальности)</w:t>
            </w:r>
          </w:p>
        </w:tc>
      </w:tr>
      <w:tr w:rsidR="006F43E2" w:rsidRPr="006F43E2" w:rsidTr="006F43E2">
        <w:tc>
          <w:tcPr>
            <w:tcW w:w="4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309"/>
        </w:trPr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rPr>
          <w:trHeight w:val="267"/>
        </w:trPr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 Ф.И.О., должность)</w:t>
            </w: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ОЦЕНКА СООТВЕТСТВИЯ ПОДГОТОВЛЕННОСТИ </w:t>
      </w: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АВТОРА ВЫПУСКНОЙ КВАЛИФИКАЦИОННОЙ РАБОТЫ ТРЕБОВАНИЯМ </w:t>
      </w: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ФГОС 43.02.11 «ГОСТИНИЧНЫЙ СЕРВИС» </w:t>
      </w:r>
    </w:p>
    <w:p w:rsidR="006F43E2" w:rsidRPr="006F43E2" w:rsidRDefault="006F43E2" w:rsidP="006F43E2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06"/>
        <w:gridCol w:w="1417"/>
        <w:gridCol w:w="1134"/>
      </w:tblGrid>
      <w:tr w:rsidR="006F43E2" w:rsidRPr="006F43E2" w:rsidTr="0062573A">
        <w:trPr>
          <w:trHeight w:val="62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Требования к профессиональной</w:t>
            </w:r>
          </w:p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корректно формулировать и ставить задачи (проблемы) своей деятельности при выполнении выпускной квалификационной работы, анализировать, диагностировать причины появления проблем, их актуальность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Уметь использовать географическую и </w:t>
            </w:r>
            <w:proofErr w:type="spellStart"/>
            <w:r w:rsidRPr="006F43E2">
              <w:rPr>
                <w:rFonts w:ascii="Times New Roman" w:hAnsi="Times New Roman"/>
                <w:sz w:val="24"/>
                <w:szCs w:val="24"/>
              </w:rPr>
              <w:t>геоэкологическую</w:t>
            </w:r>
            <w:proofErr w:type="spellEnd"/>
            <w:r w:rsidRPr="006F43E2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Владеть современными методами сбора, хранения, обработки (редактирования) и интерпретации полученной информации; оценивать ее возможности при решении поставленных задач (проблем)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объективно оценивать полученные статистические данные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полученные результаты интерпретации исходных данных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пользоваться специальной литературой профессиональной направленности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Pr="006F43E2" w:rsidRDefault="006F43E2" w:rsidP="006F43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58"/>
        <w:gridCol w:w="801"/>
        <w:gridCol w:w="1402"/>
        <w:gridCol w:w="391"/>
        <w:gridCol w:w="205"/>
        <w:gridCol w:w="57"/>
        <w:gridCol w:w="134"/>
        <w:gridCol w:w="714"/>
        <w:gridCol w:w="845"/>
        <w:gridCol w:w="278"/>
        <w:gridCol w:w="109"/>
        <w:gridCol w:w="436"/>
        <w:gridCol w:w="430"/>
        <w:gridCol w:w="593"/>
        <w:gridCol w:w="900"/>
      </w:tblGrid>
      <w:tr w:rsidR="006F43E2" w:rsidRPr="006F43E2" w:rsidTr="006F43E2">
        <w:trPr>
          <w:trHeight w:val="261"/>
        </w:trPr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Объем работы: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страниц.</w:t>
            </w:r>
          </w:p>
        </w:tc>
        <w:tc>
          <w:tcPr>
            <w:tcW w:w="14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61"/>
        </w:trPr>
        <w:tc>
          <w:tcPr>
            <w:tcW w:w="9730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48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Структура работы: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глав;</w:t>
            </w: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приложений;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рисунков;</w:t>
            </w:r>
          </w:p>
        </w:tc>
      </w:tr>
      <w:tr w:rsidR="006F43E2" w:rsidRPr="006F43E2" w:rsidTr="006F43E2">
        <w:trPr>
          <w:trHeight w:val="261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таблиц;</w:t>
            </w: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прочее.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61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61"/>
        </w:trPr>
        <w:tc>
          <w:tcPr>
            <w:tcW w:w="52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Список информационных источников включает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наименований.</w:t>
            </w:r>
          </w:p>
        </w:tc>
        <w:tc>
          <w:tcPr>
            <w:tcW w:w="15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61"/>
        </w:trPr>
        <w:tc>
          <w:tcPr>
            <w:tcW w:w="51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261"/>
        </w:trPr>
        <w:tc>
          <w:tcPr>
            <w:tcW w:w="49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Наличие электронного носителя информации:</w:t>
            </w:r>
          </w:p>
        </w:tc>
        <w:tc>
          <w:tcPr>
            <w:tcW w:w="22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u w:val="single"/>
              </w:rPr>
              <w:t>имеется</w:t>
            </w: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  <w:tc>
          <w:tcPr>
            <w:tcW w:w="25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6089"/>
        <w:gridCol w:w="908"/>
      </w:tblGrid>
      <w:tr w:rsidR="006F43E2" w:rsidRPr="006F43E2" w:rsidTr="0062573A"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Достоинства работы:</w:t>
            </w:r>
          </w:p>
        </w:tc>
        <w:tc>
          <w:tcPr>
            <w:tcW w:w="69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Недостатки работы:</w:t>
            </w:r>
          </w:p>
        </w:tc>
        <w:tc>
          <w:tcPr>
            <w:tcW w:w="69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8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Рекомендации к последующей разработке темы; вопросы, которые не удалось решить:</w:t>
            </w:r>
          </w:p>
        </w:tc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803"/>
        <w:gridCol w:w="420"/>
        <w:gridCol w:w="845"/>
        <w:gridCol w:w="1142"/>
        <w:gridCol w:w="462"/>
        <w:gridCol w:w="229"/>
        <w:gridCol w:w="673"/>
        <w:gridCol w:w="423"/>
        <w:gridCol w:w="373"/>
        <w:gridCol w:w="278"/>
        <w:gridCol w:w="3429"/>
      </w:tblGrid>
      <w:tr w:rsidR="006F43E2" w:rsidRPr="006F43E2" w:rsidTr="0062573A">
        <w:tc>
          <w:tcPr>
            <w:tcW w:w="405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Заключение с рекомендуемой оценкой:</w:t>
            </w:r>
          </w:p>
        </w:tc>
        <w:tc>
          <w:tcPr>
            <w:tcW w:w="54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43E2" w:rsidRPr="006F43E2" w:rsidTr="0062573A">
        <w:tc>
          <w:tcPr>
            <w:tcW w:w="946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6F43E2" w:rsidRPr="006F43E2" w:rsidTr="006F43E2"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3E2" w:rsidRPr="006F43E2" w:rsidRDefault="006F43E2" w:rsidP="006F43E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rPr>
          <w:trHeight w:val="367"/>
        </w:trPr>
        <w:tc>
          <w:tcPr>
            <w:tcW w:w="24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0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rPr>
          <w:trHeight w:val="311"/>
        </w:trPr>
        <w:tc>
          <w:tcPr>
            <w:tcW w:w="24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6F43E2" w:rsidRPr="006F43E2" w:rsidTr="0062573A">
        <w:trPr>
          <w:trHeight w:val="311"/>
        </w:trPr>
        <w:tc>
          <w:tcPr>
            <w:tcW w:w="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rPr>
          <w:trHeight w:val="311"/>
        </w:trPr>
        <w:tc>
          <w:tcPr>
            <w:tcW w:w="946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Default="006F43E2" w:rsidP="006F43E2">
      <w:pPr>
        <w:spacing w:after="0"/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62573A" w:rsidRPr="0062573A" w:rsidTr="006C0251">
        <w:trPr>
          <w:trHeight w:val="317"/>
        </w:trPr>
        <w:tc>
          <w:tcPr>
            <w:tcW w:w="10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Департамент образования Ярославской области</w:t>
            </w:r>
          </w:p>
        </w:tc>
      </w:tr>
      <w:tr w:rsidR="0062573A" w:rsidRPr="0062573A" w:rsidTr="006C0251">
        <w:trPr>
          <w:trHeight w:val="294"/>
        </w:trPr>
        <w:tc>
          <w:tcPr>
            <w:tcW w:w="10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ГПОАУ ЯО Ростовский колледж отраслевых технологий</w:t>
            </w:r>
          </w:p>
        </w:tc>
      </w:tr>
    </w:tbl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</w:rPr>
        <w:t>РЕЦЕНЗИЯ</w:t>
      </w: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</w:rPr>
        <w:t>на выпускную квалификационную работу</w:t>
      </w: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3164"/>
        <w:gridCol w:w="4407"/>
      </w:tblGrid>
      <w:tr w:rsidR="0062573A" w:rsidRPr="0062573A" w:rsidTr="0062573A">
        <w:trPr>
          <w:trHeight w:val="331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 xml:space="preserve">Студента </w:t>
            </w:r>
            <w:r w:rsidRPr="0062573A">
              <w:rPr>
                <w:rFonts w:ascii="Times New Roman" w:hAnsi="Times New Roman"/>
              </w:rPr>
              <w:t>(</w:t>
            </w:r>
            <w:proofErr w:type="spellStart"/>
            <w:r w:rsidRPr="0062573A">
              <w:rPr>
                <w:rFonts w:ascii="Times New Roman" w:hAnsi="Times New Roman"/>
              </w:rPr>
              <w:t>ки</w:t>
            </w:r>
            <w:proofErr w:type="spellEnd"/>
            <w:r w:rsidRPr="0062573A">
              <w:rPr>
                <w:rFonts w:ascii="Times New Roman" w:hAnsi="Times New Roman"/>
              </w:rPr>
              <w:t>)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</w:t>
            </w:r>
          </w:p>
        </w:tc>
      </w:tr>
      <w:tr w:rsidR="0062573A" w:rsidRPr="0062573A" w:rsidTr="0062573A"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 43.02.11 Гостиничный сервис</w:t>
            </w:r>
          </w:p>
        </w:tc>
      </w:tr>
      <w:tr w:rsidR="0062573A" w:rsidRPr="0062573A" w:rsidTr="0062573A"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(код и наименование специальности)</w:t>
            </w:r>
          </w:p>
        </w:tc>
      </w:tr>
      <w:tr w:rsidR="0062573A" w:rsidRPr="0062573A" w:rsidTr="0062573A">
        <w:trPr>
          <w:trHeight w:val="316"/>
        </w:trPr>
        <w:tc>
          <w:tcPr>
            <w:tcW w:w="50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Тема выпускной квалификационной работы:</w:t>
            </w:r>
          </w:p>
        </w:tc>
        <w:tc>
          <w:tcPr>
            <w:tcW w:w="44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rPr>
          <w:trHeight w:val="359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Рецензент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rPr>
          <w:trHeight w:val="128"/>
        </w:trPr>
        <w:tc>
          <w:tcPr>
            <w:tcW w:w="189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 Ф.И.О., место работы, должность)</w:t>
            </w:r>
          </w:p>
        </w:tc>
      </w:tr>
      <w:tr w:rsidR="0062573A" w:rsidRPr="0062573A" w:rsidTr="0062573A">
        <w:trPr>
          <w:trHeight w:val="249"/>
        </w:trPr>
        <w:tc>
          <w:tcPr>
            <w:tcW w:w="189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  <w:bCs/>
        </w:rPr>
        <w:t>ОЦЕНКА ВЫПУСКНОЙ КВАЛИФИКАЦИОННОЙ РАБОТЫ</w:t>
      </w:r>
    </w:p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224"/>
        <w:gridCol w:w="740"/>
        <w:gridCol w:w="740"/>
        <w:gridCol w:w="740"/>
        <w:gridCol w:w="740"/>
        <w:gridCol w:w="749"/>
      </w:tblGrid>
      <w:tr w:rsidR="0062573A" w:rsidRPr="0062573A" w:rsidTr="006C0251"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62573A" w:rsidRPr="0062573A" w:rsidTr="006C025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Актуальность темы выбора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Обоснованность и доказательность выводов работы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Оригинальность и новизна полученных результатов, производственно-технологических решений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Уровень и корректность использования в работе научных методов исследований, математического моделирования, расчетов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Применение современного программного обеспечения, компьютерных технологий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62573A">
        <w:rPr>
          <w:rFonts w:ascii="Times New Roman" w:hAnsi="Times New Roman"/>
        </w:rPr>
        <w:t>не оценивается (трудно оценить)</w:t>
      </w:r>
    </w:p>
    <w:p w:rsidR="0062573A" w:rsidRPr="0062573A" w:rsidRDefault="0062573A" w:rsidP="0062573A">
      <w:pPr>
        <w:pageBreakBefore/>
        <w:spacing w:after="0"/>
        <w:ind w:firstLine="709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3"/>
        <w:gridCol w:w="5420"/>
      </w:tblGrid>
      <w:tr w:rsidR="0062573A" w:rsidRPr="0062573A" w:rsidTr="006C0251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Отмеченные достоинства работы: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Отмеченные недостатки работы:</w:t>
            </w:r>
          </w:p>
        </w:tc>
        <w:tc>
          <w:tcPr>
            <w:tcW w:w="5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879"/>
      </w:tblGrid>
      <w:tr w:rsidR="0062573A" w:rsidRPr="0062573A" w:rsidTr="006C0251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Заключение с рекомендуемой оценкой:</w:t>
            </w:r>
          </w:p>
        </w:tc>
        <w:tc>
          <w:tcPr>
            <w:tcW w:w="5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3061"/>
        <w:gridCol w:w="540"/>
        <w:gridCol w:w="3970"/>
      </w:tblGrid>
      <w:tr w:rsidR="0062573A" w:rsidRPr="0062573A" w:rsidTr="006C0251">
        <w:trPr>
          <w:trHeight w:val="367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Рецензент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C0251">
        <w:trPr>
          <w:trHeight w:val="31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803"/>
        <w:gridCol w:w="419"/>
        <w:gridCol w:w="1984"/>
        <w:gridCol w:w="689"/>
        <w:gridCol w:w="688"/>
        <w:gridCol w:w="422"/>
        <w:gridCol w:w="4073"/>
      </w:tblGrid>
      <w:tr w:rsidR="0062573A" w:rsidRPr="0062573A" w:rsidTr="006C0251">
        <w:trPr>
          <w:trHeight w:val="311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right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jc w:val="right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19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г.</w:t>
            </w:r>
          </w:p>
        </w:tc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C0251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Tr="006C0251">
        <w:trPr>
          <w:trHeight w:val="311"/>
        </w:trPr>
        <w:tc>
          <w:tcPr>
            <w:tcW w:w="100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Default="0062573A" w:rsidP="006C0251">
            <w:pPr>
              <w:snapToGrid w:val="0"/>
              <w:spacing w:after="0"/>
              <w:jc w:val="center"/>
            </w:pPr>
          </w:p>
        </w:tc>
      </w:tr>
    </w:tbl>
    <w:p w:rsidR="00F7591F" w:rsidRDefault="00F7591F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</w:p>
    <w:p w:rsidR="00F7591F" w:rsidRPr="00C85610" w:rsidRDefault="00F7591F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FF34D2" w:rsidRDefault="00FF34D2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12352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</w:t>
      </w:r>
      <w:r w:rsidR="00612352">
        <w:rPr>
          <w:rFonts w:ascii="Times New Roman" w:eastAsia="Times New Roman" w:hAnsi="Times New Roman"/>
        </w:rPr>
        <w:t>тель директора по УМР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612352">
        <w:rPr>
          <w:rFonts w:ascii="Times New Roman" w:eastAsia="Times New Roman" w:hAnsi="Times New Roman"/>
        </w:rPr>
        <w:t>ПЦК ГС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2.15.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612352">
        <w:rPr>
          <w:rFonts w:ascii="Times New Roman" w:eastAsia="Times New Roman" w:hAnsi="Times New Roman"/>
        </w:rPr>
        <w:t>ПЦК ГС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12352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627B9E" w:rsidRPr="00C85610">
        <w:rPr>
          <w:rFonts w:ascii="Times New Roman" w:eastAsia="Times New Roman" w:hAnsi="Times New Roman"/>
          <w:lang w:eastAsia="ru-RU"/>
        </w:rPr>
        <w:t>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12352" w:rsidRDefault="00612352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12352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627B9E" w:rsidRPr="00C85610">
        <w:rPr>
          <w:rFonts w:ascii="Times New Roman" w:eastAsia="Times New Roman" w:hAnsi="Times New Roman"/>
          <w:lang w:eastAsia="ru-RU"/>
        </w:rPr>
        <w:t>оп</w:t>
      </w:r>
      <w:r w:rsidR="00627B9E"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</w:t>
      </w:r>
      <w:r w:rsidR="0061235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12352" w:rsidRDefault="0061235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12352" w:rsidRDefault="0061235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C85610" w:rsidRDefault="00627B9E" w:rsidP="00627B9E">
      <w:pPr>
        <w:spacing w:after="0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>, представители работодателей</w:t>
      </w:r>
      <w:r w:rsidR="00612352">
        <w:rPr>
          <w:rFonts w:ascii="Times New Roman" w:eastAsia="Times New Roman" w:hAnsi="Times New Roman"/>
          <w:lang w:eastAsia="ru-RU"/>
        </w:rPr>
        <w:t>.</w:t>
      </w:r>
      <w:r w:rsidRPr="00C85610">
        <w:rPr>
          <w:rFonts w:ascii="Times New Roman" w:eastAsia="Times New Roman" w:hAnsi="Times New Roman"/>
          <w:lang w:eastAsia="ru-RU"/>
        </w:rPr>
        <w:t xml:space="preserve">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</w:t>
      </w:r>
      <w:r w:rsidR="00612352">
        <w:rPr>
          <w:rFonts w:ascii="Times New Roman" w:eastAsia="Times New Roman" w:hAnsi="Times New Roman"/>
          <w:lang w:eastAsia="ru-RU"/>
        </w:rPr>
        <w:t xml:space="preserve">о </w:t>
      </w: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12352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12352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FF34D2" w:rsidRDefault="00FF34D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Pr="00C85610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="00612352">
        <w:rPr>
          <w:rFonts w:ascii="Times New Roman" w:hAnsi="Times New Roman"/>
        </w:rPr>
        <w:t>курс</w:t>
      </w:r>
      <w:r w:rsidR="00612352" w:rsidRPr="00612352">
        <w:rPr>
          <w:rFonts w:ascii="Times New Roman" w:hAnsi="Times New Roman"/>
          <w:u w:val="single"/>
        </w:rPr>
        <w:t xml:space="preserve"> 3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</w:t>
      </w:r>
      <w:r w:rsidR="008F292D">
        <w:rPr>
          <w:rFonts w:ascii="Times New Roman" w:hAnsi="Times New Roman"/>
        </w:rPr>
        <w:t>21</w:t>
      </w:r>
      <w:bookmarkStart w:id="12" w:name="_GoBack"/>
      <w:bookmarkEnd w:id="12"/>
      <w:r w:rsidRPr="00C85610">
        <w:rPr>
          <w:rFonts w:ascii="Times New Roman" w:hAnsi="Times New Roman"/>
        </w:rPr>
        <w:t>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612352" w:rsidRPr="00612352" w:rsidRDefault="00EF793B" w:rsidP="00612352">
      <w:pPr>
        <w:ind w:right="282"/>
        <w:jc w:val="both"/>
        <w:rPr>
          <w:rFonts w:ascii="Times New Roman" w:hAnsi="Times New Roman"/>
          <w:b/>
          <w:sz w:val="24"/>
        </w:rPr>
      </w:pPr>
      <w:r w:rsidRPr="00612352">
        <w:rPr>
          <w:rFonts w:ascii="Times New Roman" w:hAnsi="Times New Roman"/>
          <w:b/>
        </w:rPr>
        <w:t xml:space="preserve">Специальность </w:t>
      </w:r>
      <w:r w:rsidR="00612352" w:rsidRPr="00612352">
        <w:rPr>
          <w:rFonts w:ascii="Times New Roman" w:hAnsi="Times New Roman"/>
          <w:b/>
          <w:sz w:val="24"/>
          <w:u w:val="single"/>
        </w:rPr>
        <w:t>43.02.11 Гостиничный сервис</w:t>
      </w: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 w:rsidSect="006F43E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FE" w:rsidRDefault="00DC37FE" w:rsidP="00627B9E">
      <w:pPr>
        <w:spacing w:after="0" w:line="240" w:lineRule="auto"/>
      </w:pPr>
      <w:r>
        <w:separator/>
      </w:r>
    </w:p>
  </w:endnote>
  <w:endnote w:type="continuationSeparator" w:id="0">
    <w:p w:rsidR="00DC37FE" w:rsidRDefault="00DC37FE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6C0251" w:rsidRDefault="006C02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92D">
          <w:rPr>
            <w:noProof/>
          </w:rPr>
          <w:t>28</w:t>
        </w:r>
        <w:r>
          <w:fldChar w:fldCharType="end"/>
        </w:r>
      </w:p>
    </w:sdtContent>
  </w:sdt>
  <w:p w:rsidR="006C0251" w:rsidRDefault="006C02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FE" w:rsidRDefault="00DC37FE" w:rsidP="00627B9E">
      <w:pPr>
        <w:spacing w:after="0" w:line="240" w:lineRule="auto"/>
      </w:pPr>
      <w:r>
        <w:separator/>
      </w:r>
    </w:p>
  </w:footnote>
  <w:footnote w:type="continuationSeparator" w:id="0">
    <w:p w:rsidR="00DC37FE" w:rsidRDefault="00DC37FE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9857AC"/>
    <w:multiLevelType w:val="hybridMultilevel"/>
    <w:tmpl w:val="C1F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5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0107B8"/>
    <w:multiLevelType w:val="multilevel"/>
    <w:tmpl w:val="D99E15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25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9"/>
  </w:num>
  <w:num w:numId="12">
    <w:abstractNumId w:val="23"/>
  </w:num>
  <w:num w:numId="13">
    <w:abstractNumId w:val="18"/>
  </w:num>
  <w:num w:numId="14">
    <w:abstractNumId w:val="15"/>
  </w:num>
  <w:num w:numId="15">
    <w:abstractNumId w:val="24"/>
  </w:num>
  <w:num w:numId="16">
    <w:abstractNumId w:val="11"/>
  </w:num>
  <w:num w:numId="17">
    <w:abstractNumId w:val="21"/>
  </w:num>
  <w:num w:numId="18">
    <w:abstractNumId w:val="8"/>
  </w:num>
  <w:num w:numId="19">
    <w:abstractNumId w:val="22"/>
  </w:num>
  <w:num w:numId="20">
    <w:abstractNumId w:val="17"/>
  </w:num>
  <w:num w:numId="21">
    <w:abstractNumId w:val="10"/>
  </w:num>
  <w:num w:numId="22">
    <w:abstractNumId w:val="13"/>
  </w:num>
  <w:num w:numId="23">
    <w:abstractNumId w:val="0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A5D32"/>
    <w:rsid w:val="003B4C3E"/>
    <w:rsid w:val="003D18F2"/>
    <w:rsid w:val="004132D8"/>
    <w:rsid w:val="004435DB"/>
    <w:rsid w:val="004D21C4"/>
    <w:rsid w:val="00524CDC"/>
    <w:rsid w:val="00576545"/>
    <w:rsid w:val="00612352"/>
    <w:rsid w:val="0062573A"/>
    <w:rsid w:val="00627B9E"/>
    <w:rsid w:val="00695CAB"/>
    <w:rsid w:val="006C0251"/>
    <w:rsid w:val="006F43E2"/>
    <w:rsid w:val="007708F9"/>
    <w:rsid w:val="008F292D"/>
    <w:rsid w:val="00931EEC"/>
    <w:rsid w:val="00936CB2"/>
    <w:rsid w:val="00970DB2"/>
    <w:rsid w:val="00991727"/>
    <w:rsid w:val="00A31851"/>
    <w:rsid w:val="00A41646"/>
    <w:rsid w:val="00AA29D2"/>
    <w:rsid w:val="00C17D4B"/>
    <w:rsid w:val="00C85610"/>
    <w:rsid w:val="00D94D20"/>
    <w:rsid w:val="00DA336C"/>
    <w:rsid w:val="00DB2195"/>
    <w:rsid w:val="00DC0B85"/>
    <w:rsid w:val="00DC37FE"/>
    <w:rsid w:val="00DD4641"/>
    <w:rsid w:val="00EF793B"/>
    <w:rsid w:val="00F53872"/>
    <w:rsid w:val="00F61395"/>
    <w:rsid w:val="00F659C9"/>
    <w:rsid w:val="00F7591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5EA2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4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43E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43E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43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5">
    <w:name w:val="Основной текст1"/>
    <w:basedOn w:val="a"/>
    <w:rsid w:val="006C025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C522-3A2E-4537-9583-EEA402D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30</Pages>
  <Words>8832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2021-03-15T09:30:00Z</cp:lastPrinted>
  <dcterms:created xsi:type="dcterms:W3CDTF">2019-11-20T12:56:00Z</dcterms:created>
  <dcterms:modified xsi:type="dcterms:W3CDTF">2021-03-15T09:36:00Z</dcterms:modified>
</cp:coreProperties>
</file>