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EF" w:rsidRPr="00AE7EEF" w:rsidRDefault="00AE7EEF" w:rsidP="00AE7EEF">
      <w:pPr>
        <w:jc w:val="center"/>
        <w:rPr>
          <w:rFonts w:cs="Times New Roman"/>
          <w:b/>
        </w:rPr>
      </w:pPr>
      <w:r w:rsidRPr="00AE7EEF">
        <w:rPr>
          <w:rFonts w:cs="Times New Roman"/>
          <w:b/>
        </w:rPr>
        <w:t>ГОСУДАРСТВЕНННОЕ ПРОФЕССИОНАЛЬНОЕ ОБРАЗОВАТЕЛЬНОЕ АВТОНОМНОЕ УЧРЕЖДЕНИЕ ЯРОСЛАВСКОЙ ОБЛАСТИ</w:t>
      </w:r>
    </w:p>
    <w:p w:rsidR="00AE7EEF" w:rsidRPr="00AE7EEF" w:rsidRDefault="00AE7EEF" w:rsidP="00AE7EEF">
      <w:pPr>
        <w:jc w:val="center"/>
        <w:rPr>
          <w:rFonts w:cs="Times New Roman"/>
          <w:b/>
        </w:rPr>
      </w:pPr>
      <w:r w:rsidRPr="00AE7EEF">
        <w:rPr>
          <w:rFonts w:cs="Times New Roman"/>
          <w:b/>
        </w:rPr>
        <w:t>РОСТОВСКИЙ КОЛЛЕДЖ ОТРАСЛЕВЫХ ТЕХНОЛОГИЙ</w:t>
      </w: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B00605" w:rsidRPr="00AE7EEF" w:rsidRDefault="00AE7EEF" w:rsidP="00AE7EEF">
      <w:pPr>
        <w:jc w:val="center"/>
        <w:rPr>
          <w:rFonts w:cs="Times New Roman"/>
          <w:b/>
        </w:rPr>
      </w:pPr>
      <w:r w:rsidRPr="00AE7EEF">
        <w:rPr>
          <w:rFonts w:cs="Times New Roman"/>
          <w:b/>
        </w:rPr>
        <w:t xml:space="preserve">Анализ </w:t>
      </w:r>
      <w:r w:rsidR="003F175A">
        <w:rPr>
          <w:rFonts w:cs="Times New Roman"/>
          <w:b/>
        </w:rPr>
        <w:t>внешней</w:t>
      </w:r>
      <w:r w:rsidRPr="00AE7EEF">
        <w:rPr>
          <w:rFonts w:cs="Times New Roman"/>
          <w:b/>
        </w:rPr>
        <w:t xml:space="preserve"> среды ГПОАУ ЯО Ростовский колледж отраслевых технологий</w:t>
      </w: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p>
    <w:p w:rsidR="00AE7EEF" w:rsidRPr="00AE7EEF" w:rsidRDefault="00AE7EEF" w:rsidP="00AE7EEF">
      <w:pPr>
        <w:jc w:val="center"/>
        <w:rPr>
          <w:rFonts w:cs="Times New Roman"/>
          <w:b/>
        </w:rPr>
      </w:pPr>
      <w:r w:rsidRPr="00AE7EEF">
        <w:rPr>
          <w:rFonts w:cs="Times New Roman"/>
          <w:b/>
        </w:rPr>
        <w:t>Ростов, 201</w:t>
      </w:r>
      <w:r w:rsidR="003F175A">
        <w:rPr>
          <w:rFonts w:cs="Times New Roman"/>
          <w:b/>
        </w:rPr>
        <w:t>8</w:t>
      </w:r>
    </w:p>
    <w:p w:rsidR="00AE7EEF" w:rsidRDefault="008F20B9" w:rsidP="008F20B9">
      <w:pPr>
        <w:spacing w:after="480"/>
        <w:jc w:val="center"/>
        <w:rPr>
          <w:rFonts w:cs="Times New Roman"/>
          <w:b/>
        </w:rPr>
      </w:pPr>
      <w:r w:rsidRPr="00AE7EEF">
        <w:rPr>
          <w:rFonts w:cs="Times New Roman"/>
          <w:b/>
        </w:rPr>
        <w:lastRenderedPageBreak/>
        <w:t>СОДЕРЖАНИЕ</w:t>
      </w:r>
    </w:p>
    <w:sdt>
      <w:sdtPr>
        <w:rPr>
          <w:rFonts w:ascii="Times New Roman" w:eastAsiaTheme="minorEastAsia" w:hAnsi="Times New Roman" w:cstheme="minorBidi"/>
          <w:b w:val="0"/>
          <w:bCs w:val="0"/>
          <w:color w:val="auto"/>
          <w:szCs w:val="22"/>
          <w:lang w:eastAsia="ru-RU"/>
        </w:rPr>
        <w:id w:val="52597563"/>
        <w:docPartObj>
          <w:docPartGallery w:val="Table of Contents"/>
          <w:docPartUnique/>
        </w:docPartObj>
      </w:sdtPr>
      <w:sdtEndPr/>
      <w:sdtContent>
        <w:p w:rsidR="006B767A" w:rsidRDefault="006B767A">
          <w:pPr>
            <w:pStyle w:val="a8"/>
          </w:pPr>
        </w:p>
        <w:p w:rsidR="006B767A" w:rsidRDefault="006B767A">
          <w:pPr>
            <w:pStyle w:val="11"/>
            <w:tabs>
              <w:tab w:val="left" w:pos="440"/>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509782126" w:history="1">
            <w:r w:rsidRPr="006622E3">
              <w:rPr>
                <w:rStyle w:val="a4"/>
                <w:noProof/>
              </w:rPr>
              <w:t>1.</w:t>
            </w:r>
            <w:r>
              <w:rPr>
                <w:rFonts w:asciiTheme="minorHAnsi" w:hAnsiTheme="minorHAnsi"/>
                <w:noProof/>
                <w:sz w:val="22"/>
              </w:rPr>
              <w:tab/>
            </w:r>
            <w:r w:rsidRPr="006622E3">
              <w:rPr>
                <w:rStyle w:val="a4"/>
                <w:noProof/>
              </w:rPr>
              <w:t>Социально-демографические особенности муниципального образования</w:t>
            </w:r>
            <w:r>
              <w:rPr>
                <w:noProof/>
                <w:webHidden/>
              </w:rPr>
              <w:tab/>
            </w:r>
            <w:r>
              <w:rPr>
                <w:noProof/>
                <w:webHidden/>
              </w:rPr>
              <w:fldChar w:fldCharType="begin"/>
            </w:r>
            <w:r>
              <w:rPr>
                <w:noProof/>
                <w:webHidden/>
              </w:rPr>
              <w:instrText xml:space="preserve"> PAGEREF _Toc509782126 \h </w:instrText>
            </w:r>
            <w:r>
              <w:rPr>
                <w:noProof/>
                <w:webHidden/>
              </w:rPr>
            </w:r>
            <w:r>
              <w:rPr>
                <w:noProof/>
                <w:webHidden/>
              </w:rPr>
              <w:fldChar w:fldCharType="separate"/>
            </w:r>
            <w:r>
              <w:rPr>
                <w:noProof/>
                <w:webHidden/>
              </w:rPr>
              <w:t>3</w:t>
            </w:r>
            <w:r>
              <w:rPr>
                <w:noProof/>
                <w:webHidden/>
              </w:rPr>
              <w:fldChar w:fldCharType="end"/>
            </w:r>
          </w:hyperlink>
        </w:p>
        <w:p w:rsidR="006B767A" w:rsidRDefault="009D5020">
          <w:pPr>
            <w:pStyle w:val="11"/>
            <w:tabs>
              <w:tab w:val="left" w:pos="440"/>
              <w:tab w:val="right" w:leader="dot" w:pos="9345"/>
            </w:tabs>
            <w:rPr>
              <w:rFonts w:asciiTheme="minorHAnsi" w:hAnsiTheme="minorHAnsi"/>
              <w:noProof/>
              <w:sz w:val="22"/>
            </w:rPr>
          </w:pPr>
          <w:hyperlink w:anchor="_Toc509782127" w:history="1">
            <w:r w:rsidR="006B767A" w:rsidRPr="006622E3">
              <w:rPr>
                <w:rStyle w:val="a4"/>
                <w:noProof/>
                <w:lang w:val="en-US"/>
              </w:rPr>
              <w:t>2.</w:t>
            </w:r>
            <w:r w:rsidR="006B767A">
              <w:rPr>
                <w:rFonts w:asciiTheme="minorHAnsi" w:hAnsiTheme="minorHAnsi"/>
                <w:noProof/>
                <w:sz w:val="22"/>
              </w:rPr>
              <w:tab/>
            </w:r>
            <w:r w:rsidR="006B767A" w:rsidRPr="006622E3">
              <w:rPr>
                <w:rStyle w:val="a4"/>
                <w:noProof/>
              </w:rPr>
              <w:t>Социально-экономические особенности муниципального образования</w:t>
            </w:r>
            <w:r w:rsidR="006B767A">
              <w:rPr>
                <w:noProof/>
                <w:webHidden/>
              </w:rPr>
              <w:tab/>
            </w:r>
            <w:r w:rsidR="006B767A">
              <w:rPr>
                <w:noProof/>
                <w:webHidden/>
              </w:rPr>
              <w:fldChar w:fldCharType="begin"/>
            </w:r>
            <w:r w:rsidR="006B767A">
              <w:rPr>
                <w:noProof/>
                <w:webHidden/>
              </w:rPr>
              <w:instrText xml:space="preserve"> PAGEREF _Toc509782127 \h </w:instrText>
            </w:r>
            <w:r w:rsidR="006B767A">
              <w:rPr>
                <w:noProof/>
                <w:webHidden/>
              </w:rPr>
            </w:r>
            <w:r w:rsidR="006B767A">
              <w:rPr>
                <w:noProof/>
                <w:webHidden/>
              </w:rPr>
              <w:fldChar w:fldCharType="separate"/>
            </w:r>
            <w:r w:rsidR="006B767A">
              <w:rPr>
                <w:noProof/>
                <w:webHidden/>
              </w:rPr>
              <w:t>4</w:t>
            </w:r>
            <w:r w:rsidR="006B767A">
              <w:rPr>
                <w:noProof/>
                <w:webHidden/>
              </w:rPr>
              <w:fldChar w:fldCharType="end"/>
            </w:r>
          </w:hyperlink>
        </w:p>
        <w:p w:rsidR="006B767A" w:rsidRDefault="009D5020">
          <w:pPr>
            <w:pStyle w:val="11"/>
            <w:tabs>
              <w:tab w:val="left" w:pos="440"/>
              <w:tab w:val="right" w:leader="dot" w:pos="9345"/>
            </w:tabs>
            <w:rPr>
              <w:rFonts w:asciiTheme="minorHAnsi" w:hAnsiTheme="minorHAnsi"/>
              <w:noProof/>
              <w:sz w:val="22"/>
            </w:rPr>
          </w:pPr>
          <w:hyperlink w:anchor="_Toc509782128" w:history="1">
            <w:r w:rsidR="006B767A" w:rsidRPr="006622E3">
              <w:rPr>
                <w:rStyle w:val="a4"/>
                <w:noProof/>
              </w:rPr>
              <w:t>3.</w:t>
            </w:r>
            <w:r w:rsidR="006B767A">
              <w:rPr>
                <w:rFonts w:asciiTheme="minorHAnsi" w:hAnsiTheme="minorHAnsi"/>
                <w:noProof/>
                <w:sz w:val="22"/>
              </w:rPr>
              <w:tab/>
            </w:r>
            <w:r w:rsidR="006B767A" w:rsidRPr="006622E3">
              <w:rPr>
                <w:rStyle w:val="a4"/>
                <w:noProof/>
              </w:rPr>
              <w:t>Образовательная среда региона</w:t>
            </w:r>
            <w:r w:rsidR="006B767A">
              <w:rPr>
                <w:noProof/>
                <w:webHidden/>
              </w:rPr>
              <w:tab/>
            </w:r>
            <w:r w:rsidR="006B767A">
              <w:rPr>
                <w:noProof/>
                <w:webHidden/>
              </w:rPr>
              <w:fldChar w:fldCharType="begin"/>
            </w:r>
            <w:r w:rsidR="006B767A">
              <w:rPr>
                <w:noProof/>
                <w:webHidden/>
              </w:rPr>
              <w:instrText xml:space="preserve"> PAGEREF _Toc509782128 \h </w:instrText>
            </w:r>
            <w:r w:rsidR="006B767A">
              <w:rPr>
                <w:noProof/>
                <w:webHidden/>
              </w:rPr>
            </w:r>
            <w:r w:rsidR="006B767A">
              <w:rPr>
                <w:noProof/>
                <w:webHidden/>
              </w:rPr>
              <w:fldChar w:fldCharType="separate"/>
            </w:r>
            <w:r w:rsidR="006B767A">
              <w:rPr>
                <w:noProof/>
                <w:webHidden/>
              </w:rPr>
              <w:t>8</w:t>
            </w:r>
            <w:r w:rsidR="006B767A">
              <w:rPr>
                <w:noProof/>
                <w:webHidden/>
              </w:rPr>
              <w:fldChar w:fldCharType="end"/>
            </w:r>
          </w:hyperlink>
        </w:p>
        <w:p w:rsidR="006B767A" w:rsidRDefault="009D5020">
          <w:pPr>
            <w:pStyle w:val="11"/>
            <w:tabs>
              <w:tab w:val="left" w:pos="440"/>
              <w:tab w:val="right" w:leader="dot" w:pos="9345"/>
            </w:tabs>
            <w:rPr>
              <w:rFonts w:asciiTheme="minorHAnsi" w:hAnsiTheme="minorHAnsi"/>
              <w:noProof/>
              <w:sz w:val="22"/>
            </w:rPr>
          </w:pPr>
          <w:hyperlink w:anchor="_Toc509782129" w:history="1">
            <w:r w:rsidR="006B767A" w:rsidRPr="006622E3">
              <w:rPr>
                <w:rStyle w:val="a4"/>
                <w:noProof/>
              </w:rPr>
              <w:t>4.</w:t>
            </w:r>
            <w:r w:rsidR="006B767A">
              <w:rPr>
                <w:rFonts w:asciiTheme="minorHAnsi" w:hAnsiTheme="minorHAnsi"/>
                <w:noProof/>
                <w:sz w:val="22"/>
              </w:rPr>
              <w:tab/>
            </w:r>
            <w:r w:rsidR="006B767A" w:rsidRPr="006622E3">
              <w:rPr>
                <w:rStyle w:val="a4"/>
                <w:noProof/>
              </w:rPr>
              <w:t>Вывод</w:t>
            </w:r>
            <w:r w:rsidR="006B767A">
              <w:rPr>
                <w:noProof/>
                <w:webHidden/>
              </w:rPr>
              <w:tab/>
            </w:r>
            <w:r w:rsidR="006B767A">
              <w:rPr>
                <w:noProof/>
                <w:webHidden/>
              </w:rPr>
              <w:fldChar w:fldCharType="begin"/>
            </w:r>
            <w:r w:rsidR="006B767A">
              <w:rPr>
                <w:noProof/>
                <w:webHidden/>
              </w:rPr>
              <w:instrText xml:space="preserve"> PAGEREF _Toc509782129 \h </w:instrText>
            </w:r>
            <w:r w:rsidR="006B767A">
              <w:rPr>
                <w:noProof/>
                <w:webHidden/>
              </w:rPr>
            </w:r>
            <w:r w:rsidR="006B767A">
              <w:rPr>
                <w:noProof/>
                <w:webHidden/>
              </w:rPr>
              <w:fldChar w:fldCharType="separate"/>
            </w:r>
            <w:r w:rsidR="006B767A">
              <w:rPr>
                <w:noProof/>
                <w:webHidden/>
              </w:rPr>
              <w:t>9</w:t>
            </w:r>
            <w:r w:rsidR="006B767A">
              <w:rPr>
                <w:noProof/>
                <w:webHidden/>
              </w:rPr>
              <w:fldChar w:fldCharType="end"/>
            </w:r>
          </w:hyperlink>
        </w:p>
        <w:p w:rsidR="006B767A" w:rsidRDefault="006B767A">
          <w:r>
            <w:fldChar w:fldCharType="end"/>
          </w:r>
        </w:p>
      </w:sdtContent>
    </w:sdt>
    <w:p w:rsidR="00AE7EEF" w:rsidRDefault="00AE7EEF" w:rsidP="008F20B9">
      <w:pPr>
        <w:spacing w:before="480" w:after="480"/>
        <w:jc w:val="both"/>
        <w:rPr>
          <w:rFonts w:cs="Times New Roman"/>
          <w:b/>
        </w:rPr>
      </w:pPr>
    </w:p>
    <w:p w:rsidR="00AE7EEF" w:rsidRDefault="00AE7EEF">
      <w:pPr>
        <w:rPr>
          <w:rFonts w:cs="Times New Roman"/>
          <w:b/>
        </w:rPr>
      </w:pPr>
      <w:r>
        <w:rPr>
          <w:rFonts w:cs="Times New Roman"/>
          <w:b/>
        </w:rPr>
        <w:br w:type="page"/>
      </w:r>
    </w:p>
    <w:p w:rsidR="003F175A" w:rsidRPr="003F175A" w:rsidRDefault="003F175A" w:rsidP="00FA298A">
      <w:pPr>
        <w:pStyle w:val="1"/>
        <w:numPr>
          <w:ilvl w:val="0"/>
          <w:numId w:val="10"/>
        </w:numPr>
        <w:spacing w:before="0" w:after="120" w:line="240" w:lineRule="auto"/>
        <w:ind w:left="0" w:firstLine="709"/>
        <w:jc w:val="both"/>
      </w:pPr>
      <w:bookmarkStart w:id="0" w:name="_Toc509782126"/>
      <w:r w:rsidRPr="003F175A">
        <w:lastRenderedPageBreak/>
        <w:t>Социально-демографические особенности муниципального образования</w:t>
      </w:r>
      <w:bookmarkEnd w:id="0"/>
    </w:p>
    <w:p w:rsidR="003F175A" w:rsidRDefault="003F175A" w:rsidP="00FA298A">
      <w:pPr>
        <w:spacing w:after="120" w:line="240" w:lineRule="auto"/>
        <w:ind w:firstLine="709"/>
        <w:jc w:val="both"/>
      </w:pPr>
      <w:r>
        <w:t xml:space="preserve">ГПОАУ ЯО Ростовский колледж отраслевых технологий расположен в г.п. Ростов, </w:t>
      </w:r>
      <w:proofErr w:type="gramStart"/>
      <w:r>
        <w:t>которое</w:t>
      </w:r>
      <w:proofErr w:type="gramEnd"/>
      <w:r>
        <w:t xml:space="preserve"> являетс</w:t>
      </w:r>
      <w:r w:rsidR="00783F59">
        <w:t>я административным центром Ростовского муниципального района, входящего в  состав Ярославской области.</w:t>
      </w:r>
    </w:p>
    <w:p w:rsidR="004927BC" w:rsidRDefault="00783F59" w:rsidP="00FA298A">
      <w:pPr>
        <w:spacing w:after="120" w:line="240" w:lineRule="auto"/>
        <w:ind w:firstLine="709"/>
        <w:jc w:val="both"/>
      </w:pPr>
      <w:r>
        <w:t xml:space="preserve">Г.п. Ростов относится к категории малых городов (населенные пункты с населением менее 50000 человек). </w:t>
      </w:r>
      <w:r w:rsidRPr="00783F59">
        <w:t>Городское поселение Ростов поселение занимает площадь 32,3 тыс. га.</w:t>
      </w:r>
      <w:r>
        <w:t xml:space="preserve"> </w:t>
      </w:r>
      <w:r w:rsidR="004927BC">
        <w:t xml:space="preserve">Площадь РМР - </w:t>
      </w:r>
      <w:r w:rsidR="007C37E6">
        <w:t>2081,8 кв.м.</w:t>
      </w:r>
    </w:p>
    <w:p w:rsidR="007C37E6" w:rsidRPr="004927BC" w:rsidRDefault="007C37E6" w:rsidP="00FA298A">
      <w:pPr>
        <w:spacing w:after="120" w:line="240" w:lineRule="auto"/>
        <w:ind w:firstLine="709"/>
        <w:jc w:val="both"/>
      </w:pPr>
      <w:proofErr w:type="gramStart"/>
      <w:r>
        <w:t>Экономика городского поселения и района тесно связаны между собой.</w:t>
      </w:r>
      <w:proofErr w:type="gramEnd"/>
      <w:r>
        <w:t xml:space="preserve"> Профессиональные учебные заведения при определении ассортимента образовательных услуг ориентируются на потребности не только поселения, но и района в целом.</w:t>
      </w:r>
    </w:p>
    <w:p w:rsidR="00783F59" w:rsidRDefault="00783F59" w:rsidP="00FA298A">
      <w:pPr>
        <w:spacing w:after="120" w:line="240" w:lineRule="auto"/>
        <w:ind w:firstLine="709"/>
        <w:jc w:val="both"/>
      </w:pPr>
      <w:r w:rsidRPr="00783F59">
        <w:t>Численность населения городского поселения Ростов по состоянию на 1.01.2016</w:t>
      </w:r>
      <w:r w:rsidR="004A0A02">
        <w:t xml:space="preserve"> </w:t>
      </w:r>
      <w:r w:rsidRPr="00783F59">
        <w:t>г. – 30,9 тыс. чел.</w:t>
      </w:r>
      <w:r>
        <w:t xml:space="preserve"> Численность населения Ростовского муниципального района – 6</w:t>
      </w:r>
      <w:r w:rsidR="004A0A02">
        <w:t>4</w:t>
      </w:r>
      <w:r>
        <w:t>,7 тыс. чел.</w:t>
      </w:r>
    </w:p>
    <w:p w:rsidR="004A0A02" w:rsidRPr="004A0A02" w:rsidRDefault="004A0A02" w:rsidP="004A0A02">
      <w:pPr>
        <w:spacing w:after="120" w:line="240" w:lineRule="auto"/>
        <w:ind w:firstLine="709"/>
        <w:jc w:val="both"/>
      </w:pPr>
      <w:r w:rsidRPr="004A0A02">
        <w:t>Социально-демографическая ситуация в Ростовском муниципальном районе продолжает оставаться сложной. Сохраняется устойчивая тенденция сокращения численности населения. В абсолютных цифрах численность постоянно проживающих в течение 201</w:t>
      </w:r>
      <w:r>
        <w:t>7</w:t>
      </w:r>
      <w:r w:rsidRPr="004A0A02">
        <w:t xml:space="preserve"> года сократилась на 369 чел. и составила на 01.01.201</w:t>
      </w:r>
      <w:r>
        <w:t xml:space="preserve">8 </w:t>
      </w:r>
      <w:r w:rsidRPr="004A0A02">
        <w:t xml:space="preserve"> года 64,751 человек.</w:t>
      </w:r>
    </w:p>
    <w:p w:rsidR="004A0A02" w:rsidRDefault="004A0A02" w:rsidP="004A0A02">
      <w:pPr>
        <w:spacing w:after="120" w:line="240" w:lineRule="auto"/>
        <w:ind w:firstLine="709"/>
        <w:jc w:val="both"/>
        <w:rPr>
          <w:color w:val="000000"/>
          <w:sz w:val="27"/>
          <w:szCs w:val="27"/>
        </w:rPr>
      </w:pPr>
      <w:r w:rsidRPr="004A0A02">
        <w:t>Доля городского населения составляет 73,1%, сельского – 26,9%, доля мужского населения 44,9%, женского – 55,1</w:t>
      </w:r>
      <w:r>
        <w:rPr>
          <w:color w:val="000000"/>
          <w:sz w:val="27"/>
          <w:szCs w:val="27"/>
        </w:rPr>
        <w:t>%.</w:t>
      </w:r>
    </w:p>
    <w:p w:rsidR="004A0A02" w:rsidRDefault="004A0A02" w:rsidP="004A0A02">
      <w:pPr>
        <w:spacing w:after="120" w:line="240" w:lineRule="auto"/>
        <w:ind w:firstLine="709"/>
        <w:jc w:val="both"/>
        <w:rPr>
          <w:color w:val="000000"/>
          <w:sz w:val="27"/>
          <w:szCs w:val="27"/>
        </w:rPr>
      </w:pPr>
      <w:r>
        <w:rPr>
          <w:color w:val="000000"/>
          <w:sz w:val="27"/>
          <w:szCs w:val="27"/>
        </w:rPr>
        <w:t>В 201</w:t>
      </w:r>
      <w:r>
        <w:rPr>
          <w:color w:val="000000"/>
          <w:sz w:val="27"/>
          <w:szCs w:val="27"/>
        </w:rPr>
        <w:t>7</w:t>
      </w:r>
      <w:r>
        <w:rPr>
          <w:color w:val="000000"/>
          <w:sz w:val="27"/>
          <w:szCs w:val="27"/>
        </w:rPr>
        <w:t xml:space="preserve"> году число зарегистрированных родившихся (855 чел.) выросло по сравнению с 201</w:t>
      </w:r>
      <w:r>
        <w:rPr>
          <w:color w:val="000000"/>
          <w:sz w:val="27"/>
          <w:szCs w:val="27"/>
        </w:rPr>
        <w:t xml:space="preserve">6 </w:t>
      </w:r>
      <w:r>
        <w:rPr>
          <w:color w:val="000000"/>
          <w:sz w:val="27"/>
          <w:szCs w:val="27"/>
        </w:rPr>
        <w:t>г. на 5,8% (в 201</w:t>
      </w:r>
      <w:r>
        <w:rPr>
          <w:color w:val="000000"/>
          <w:sz w:val="27"/>
          <w:szCs w:val="27"/>
        </w:rPr>
        <w:t>6</w:t>
      </w:r>
      <w:r>
        <w:rPr>
          <w:color w:val="000000"/>
          <w:sz w:val="27"/>
          <w:szCs w:val="27"/>
        </w:rPr>
        <w:t xml:space="preserve"> г. – р</w:t>
      </w:r>
      <w:r>
        <w:rPr>
          <w:color w:val="000000"/>
          <w:sz w:val="27"/>
          <w:szCs w:val="27"/>
        </w:rPr>
        <w:t>ост 2,9%</w:t>
      </w:r>
      <w:r>
        <w:rPr>
          <w:color w:val="000000"/>
          <w:sz w:val="27"/>
          <w:szCs w:val="27"/>
        </w:rPr>
        <w:t xml:space="preserve">). </w:t>
      </w:r>
    </w:p>
    <w:p w:rsidR="004A0A02" w:rsidRDefault="004A0A02" w:rsidP="004A0A02">
      <w:pPr>
        <w:spacing w:after="120" w:line="240" w:lineRule="auto"/>
        <w:ind w:firstLine="709"/>
        <w:jc w:val="both"/>
        <w:rPr>
          <w:color w:val="000000"/>
          <w:sz w:val="27"/>
          <w:szCs w:val="27"/>
        </w:rPr>
      </w:pPr>
      <w:r>
        <w:rPr>
          <w:color w:val="000000"/>
          <w:sz w:val="27"/>
          <w:szCs w:val="27"/>
        </w:rPr>
        <w:t>Анализ возрастного состава населения показывает, что 27,5% общей численности жителей района занимают пенсионеры и 16,4% - население моложе трудоспособного возраста.</w:t>
      </w:r>
    </w:p>
    <w:p w:rsidR="004A0A02" w:rsidRDefault="004A0A02" w:rsidP="004A0A02">
      <w:pPr>
        <w:pStyle w:val="a6"/>
        <w:spacing w:before="0" w:beforeAutospacing="0" w:after="0" w:afterAutospacing="0"/>
        <w:jc w:val="center"/>
        <w:rPr>
          <w:color w:val="000000"/>
          <w:sz w:val="27"/>
          <w:szCs w:val="27"/>
        </w:rPr>
      </w:pPr>
      <w:r>
        <w:rPr>
          <w:color w:val="000000"/>
          <w:sz w:val="27"/>
          <w:szCs w:val="27"/>
        </w:rPr>
        <w:t>Распределение населения Ростовского муниципального района</w:t>
      </w:r>
    </w:p>
    <w:p w:rsidR="004A0A02" w:rsidRDefault="004A0A02" w:rsidP="004A0A02">
      <w:pPr>
        <w:pStyle w:val="a6"/>
        <w:spacing w:before="0" w:beforeAutospacing="0" w:after="0" w:afterAutospacing="0"/>
        <w:jc w:val="center"/>
        <w:rPr>
          <w:color w:val="000000"/>
          <w:sz w:val="27"/>
          <w:szCs w:val="27"/>
        </w:rPr>
      </w:pPr>
      <w:r>
        <w:rPr>
          <w:color w:val="000000"/>
          <w:sz w:val="27"/>
          <w:szCs w:val="27"/>
        </w:rPr>
        <w:t>по основным возрастным группам (на начало года)</w:t>
      </w:r>
    </w:p>
    <w:tbl>
      <w:tblPr>
        <w:tblStyle w:val="a5"/>
        <w:tblW w:w="0" w:type="auto"/>
        <w:tblLook w:val="04A0" w:firstRow="1" w:lastRow="0" w:firstColumn="1" w:lastColumn="0" w:noHBand="0" w:noVBand="1"/>
      </w:tblPr>
      <w:tblGrid>
        <w:gridCol w:w="817"/>
        <w:gridCol w:w="3011"/>
        <w:gridCol w:w="957"/>
        <w:gridCol w:w="957"/>
        <w:gridCol w:w="957"/>
        <w:gridCol w:w="957"/>
        <w:gridCol w:w="957"/>
        <w:gridCol w:w="958"/>
      </w:tblGrid>
      <w:tr w:rsidR="004A0A02" w:rsidTr="004A0A02">
        <w:tc>
          <w:tcPr>
            <w:tcW w:w="817" w:type="dxa"/>
            <w:vMerge w:val="restart"/>
          </w:tcPr>
          <w:p w:rsidR="004A0A02" w:rsidRDefault="004A0A02" w:rsidP="004A0A02">
            <w:pPr>
              <w:pStyle w:val="a6"/>
              <w:spacing w:before="0" w:beforeAutospacing="0" w:after="0" w:afterAutospacing="0"/>
              <w:jc w:val="center"/>
              <w:rPr>
                <w:color w:val="000000"/>
                <w:sz w:val="27"/>
                <w:szCs w:val="27"/>
              </w:rPr>
            </w:pPr>
            <w:r>
              <w:rPr>
                <w:color w:val="000000"/>
                <w:sz w:val="27"/>
                <w:szCs w:val="27"/>
              </w:rPr>
              <w:t xml:space="preserve">№ </w:t>
            </w:r>
            <w:proofErr w:type="gramStart"/>
            <w:r>
              <w:rPr>
                <w:color w:val="000000"/>
                <w:sz w:val="27"/>
                <w:szCs w:val="27"/>
              </w:rPr>
              <w:t>п</w:t>
            </w:r>
            <w:proofErr w:type="gramEnd"/>
            <w:r>
              <w:rPr>
                <w:color w:val="000000"/>
                <w:sz w:val="27"/>
                <w:szCs w:val="27"/>
              </w:rPr>
              <w:t>/п</w:t>
            </w:r>
          </w:p>
        </w:tc>
        <w:tc>
          <w:tcPr>
            <w:tcW w:w="3011" w:type="dxa"/>
            <w:vMerge w:val="restart"/>
          </w:tcPr>
          <w:p w:rsidR="004A0A02" w:rsidRDefault="004A0A02" w:rsidP="004A0A02">
            <w:pPr>
              <w:pStyle w:val="a6"/>
              <w:spacing w:before="0" w:beforeAutospacing="0" w:after="0" w:afterAutospacing="0"/>
              <w:jc w:val="center"/>
              <w:rPr>
                <w:color w:val="000000"/>
                <w:sz w:val="27"/>
                <w:szCs w:val="27"/>
              </w:rPr>
            </w:pPr>
            <w:r>
              <w:rPr>
                <w:color w:val="000000"/>
                <w:sz w:val="27"/>
                <w:szCs w:val="27"/>
              </w:rPr>
              <w:t>Наименование показателя</w:t>
            </w:r>
          </w:p>
        </w:tc>
        <w:tc>
          <w:tcPr>
            <w:tcW w:w="1914" w:type="dxa"/>
            <w:gridSpan w:val="2"/>
          </w:tcPr>
          <w:p w:rsidR="004A0A02" w:rsidRDefault="004A0A02" w:rsidP="004A0A02">
            <w:pPr>
              <w:pStyle w:val="a6"/>
              <w:spacing w:before="0" w:beforeAutospacing="0" w:after="0" w:afterAutospacing="0"/>
              <w:jc w:val="center"/>
              <w:rPr>
                <w:color w:val="000000"/>
                <w:sz w:val="27"/>
                <w:szCs w:val="27"/>
              </w:rPr>
            </w:pPr>
            <w:r>
              <w:rPr>
                <w:color w:val="000000"/>
                <w:sz w:val="27"/>
                <w:szCs w:val="27"/>
              </w:rPr>
              <w:t>2011</w:t>
            </w:r>
          </w:p>
        </w:tc>
        <w:tc>
          <w:tcPr>
            <w:tcW w:w="1914" w:type="dxa"/>
            <w:gridSpan w:val="2"/>
          </w:tcPr>
          <w:p w:rsidR="004A0A02" w:rsidRDefault="004A0A02" w:rsidP="004A0A02">
            <w:pPr>
              <w:pStyle w:val="a6"/>
              <w:spacing w:before="0" w:beforeAutospacing="0" w:after="0" w:afterAutospacing="0"/>
              <w:jc w:val="center"/>
              <w:rPr>
                <w:color w:val="000000"/>
                <w:sz w:val="27"/>
                <w:szCs w:val="27"/>
              </w:rPr>
            </w:pPr>
            <w:r>
              <w:rPr>
                <w:color w:val="000000"/>
                <w:sz w:val="27"/>
                <w:szCs w:val="27"/>
              </w:rPr>
              <w:t>. 2012</w:t>
            </w:r>
          </w:p>
        </w:tc>
        <w:tc>
          <w:tcPr>
            <w:tcW w:w="1915" w:type="dxa"/>
            <w:gridSpan w:val="2"/>
          </w:tcPr>
          <w:p w:rsidR="004A0A02" w:rsidRDefault="004A0A02" w:rsidP="004A0A02">
            <w:pPr>
              <w:pStyle w:val="a6"/>
              <w:jc w:val="center"/>
              <w:rPr>
                <w:color w:val="000000"/>
                <w:sz w:val="27"/>
                <w:szCs w:val="27"/>
              </w:rPr>
            </w:pPr>
            <w:r>
              <w:rPr>
                <w:color w:val="000000"/>
                <w:sz w:val="27"/>
                <w:szCs w:val="27"/>
              </w:rPr>
              <w:t>2013</w:t>
            </w:r>
          </w:p>
          <w:p w:rsidR="004A0A02" w:rsidRDefault="004A0A02" w:rsidP="004A0A02">
            <w:pPr>
              <w:pStyle w:val="a6"/>
              <w:spacing w:before="0" w:beforeAutospacing="0" w:after="0" w:afterAutospacing="0"/>
              <w:jc w:val="center"/>
              <w:rPr>
                <w:color w:val="000000"/>
                <w:sz w:val="27"/>
                <w:szCs w:val="27"/>
              </w:rPr>
            </w:pPr>
          </w:p>
        </w:tc>
      </w:tr>
      <w:tr w:rsidR="004A0A02" w:rsidTr="00FA38BE">
        <w:tc>
          <w:tcPr>
            <w:tcW w:w="817" w:type="dxa"/>
            <w:vMerge/>
          </w:tcPr>
          <w:p w:rsidR="004A0A02" w:rsidRDefault="004A0A02" w:rsidP="004A0A02">
            <w:pPr>
              <w:pStyle w:val="a6"/>
              <w:spacing w:before="0" w:beforeAutospacing="0" w:after="0" w:afterAutospacing="0"/>
              <w:jc w:val="center"/>
              <w:rPr>
                <w:color w:val="000000"/>
                <w:sz w:val="27"/>
                <w:szCs w:val="27"/>
              </w:rPr>
            </w:pPr>
          </w:p>
        </w:tc>
        <w:tc>
          <w:tcPr>
            <w:tcW w:w="3011" w:type="dxa"/>
            <w:vMerge/>
          </w:tcPr>
          <w:p w:rsidR="004A0A02" w:rsidRDefault="004A0A02" w:rsidP="004A0A02">
            <w:pPr>
              <w:pStyle w:val="a6"/>
              <w:spacing w:before="0" w:beforeAutospacing="0" w:after="0" w:afterAutospacing="0"/>
              <w:jc w:val="center"/>
              <w:rPr>
                <w:color w:val="000000"/>
                <w:sz w:val="27"/>
                <w:szCs w:val="27"/>
              </w:rPr>
            </w:pP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Тыс. чел.</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Тыс. чел.</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Тыс. чел.</w:t>
            </w:r>
          </w:p>
        </w:tc>
        <w:tc>
          <w:tcPr>
            <w:tcW w:w="958" w:type="dxa"/>
          </w:tcPr>
          <w:p w:rsidR="004A0A02" w:rsidRDefault="004A0A02" w:rsidP="004A0A02">
            <w:pPr>
              <w:pStyle w:val="a6"/>
              <w:jc w:val="center"/>
              <w:rPr>
                <w:color w:val="000000"/>
                <w:sz w:val="27"/>
                <w:szCs w:val="27"/>
              </w:rPr>
            </w:pPr>
            <w:r>
              <w:rPr>
                <w:color w:val="000000"/>
                <w:sz w:val="27"/>
                <w:szCs w:val="27"/>
              </w:rPr>
              <w:t>%</w:t>
            </w:r>
          </w:p>
          <w:p w:rsidR="004A0A02" w:rsidRDefault="004A0A02" w:rsidP="004A0A02">
            <w:pPr>
              <w:pStyle w:val="a6"/>
              <w:spacing w:before="0" w:beforeAutospacing="0" w:after="0" w:afterAutospacing="0"/>
              <w:jc w:val="center"/>
              <w:rPr>
                <w:color w:val="000000"/>
                <w:sz w:val="27"/>
                <w:szCs w:val="27"/>
              </w:rPr>
            </w:pPr>
          </w:p>
        </w:tc>
      </w:tr>
      <w:tr w:rsidR="004A0A02" w:rsidTr="00FA38BE">
        <w:tc>
          <w:tcPr>
            <w:tcW w:w="81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1</w:t>
            </w:r>
          </w:p>
        </w:tc>
        <w:tc>
          <w:tcPr>
            <w:tcW w:w="3011" w:type="dxa"/>
          </w:tcPr>
          <w:p w:rsidR="004A0A02" w:rsidRDefault="004A0A02" w:rsidP="004A0A02">
            <w:pPr>
              <w:pStyle w:val="a6"/>
              <w:spacing w:before="0" w:beforeAutospacing="0" w:after="0" w:afterAutospacing="0"/>
              <w:rPr>
                <w:color w:val="000000"/>
                <w:sz w:val="27"/>
                <w:szCs w:val="27"/>
              </w:rPr>
            </w:pPr>
            <w:r>
              <w:rPr>
                <w:color w:val="000000"/>
                <w:sz w:val="27"/>
                <w:szCs w:val="27"/>
              </w:rPr>
              <w:t>Численность постоянного населения, в т. ч.</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65,7</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96,9</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65,5</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99,7</w:t>
            </w:r>
          </w:p>
        </w:tc>
        <w:tc>
          <w:tcPr>
            <w:tcW w:w="957" w:type="dxa"/>
          </w:tcPr>
          <w:p w:rsidR="004A0A02" w:rsidRDefault="004A0A02" w:rsidP="004A0A02">
            <w:pPr>
              <w:pStyle w:val="a6"/>
              <w:spacing w:before="0" w:beforeAutospacing="0" w:after="0" w:afterAutospacing="0"/>
              <w:jc w:val="center"/>
              <w:rPr>
                <w:color w:val="000000"/>
                <w:sz w:val="27"/>
                <w:szCs w:val="27"/>
              </w:rPr>
            </w:pPr>
            <w:r>
              <w:rPr>
                <w:color w:val="000000"/>
                <w:sz w:val="27"/>
                <w:szCs w:val="27"/>
              </w:rPr>
              <w:t>65,1</w:t>
            </w:r>
          </w:p>
        </w:tc>
        <w:tc>
          <w:tcPr>
            <w:tcW w:w="958" w:type="dxa"/>
          </w:tcPr>
          <w:p w:rsidR="004A0A02" w:rsidRDefault="004A0A02" w:rsidP="009D5020">
            <w:pPr>
              <w:pStyle w:val="a6"/>
              <w:jc w:val="center"/>
              <w:rPr>
                <w:color w:val="000000"/>
                <w:sz w:val="27"/>
                <w:szCs w:val="27"/>
              </w:rPr>
            </w:pPr>
            <w:r>
              <w:rPr>
                <w:color w:val="000000"/>
                <w:sz w:val="27"/>
                <w:szCs w:val="27"/>
              </w:rPr>
              <w:t>99,4</w:t>
            </w:r>
          </w:p>
          <w:p w:rsidR="004A0A02" w:rsidRDefault="004A0A02" w:rsidP="004A0A02">
            <w:pPr>
              <w:pStyle w:val="a6"/>
              <w:jc w:val="center"/>
              <w:rPr>
                <w:color w:val="000000"/>
                <w:sz w:val="27"/>
                <w:szCs w:val="27"/>
              </w:rPr>
            </w:pPr>
          </w:p>
        </w:tc>
      </w:tr>
      <w:tr w:rsidR="009D5020" w:rsidTr="00FA38BE">
        <w:tc>
          <w:tcPr>
            <w:tcW w:w="81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1.2</w:t>
            </w:r>
          </w:p>
        </w:tc>
        <w:tc>
          <w:tcPr>
            <w:tcW w:w="3011" w:type="dxa"/>
          </w:tcPr>
          <w:p w:rsidR="009D5020" w:rsidRDefault="009D5020" w:rsidP="004A0A02">
            <w:pPr>
              <w:pStyle w:val="a6"/>
              <w:spacing w:before="0" w:beforeAutospacing="0" w:after="0" w:afterAutospacing="0"/>
              <w:rPr>
                <w:color w:val="000000"/>
                <w:sz w:val="27"/>
                <w:szCs w:val="27"/>
              </w:rPr>
            </w:pPr>
            <w:r>
              <w:rPr>
                <w:color w:val="000000"/>
                <w:sz w:val="27"/>
                <w:szCs w:val="27"/>
              </w:rPr>
              <w:t>Моложе трудоспособного возраста</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10,3</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15,7</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10,5</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16,0</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10,7</w:t>
            </w:r>
          </w:p>
        </w:tc>
        <w:tc>
          <w:tcPr>
            <w:tcW w:w="958" w:type="dxa"/>
          </w:tcPr>
          <w:p w:rsidR="009D5020" w:rsidRDefault="009D5020" w:rsidP="009D5020">
            <w:pPr>
              <w:pStyle w:val="a6"/>
              <w:jc w:val="center"/>
              <w:rPr>
                <w:color w:val="000000"/>
                <w:sz w:val="27"/>
                <w:szCs w:val="27"/>
              </w:rPr>
            </w:pPr>
            <w:r>
              <w:rPr>
                <w:color w:val="000000"/>
                <w:sz w:val="27"/>
                <w:szCs w:val="27"/>
              </w:rPr>
              <w:t>16,4</w:t>
            </w:r>
          </w:p>
          <w:p w:rsidR="009D5020" w:rsidRDefault="009D5020" w:rsidP="009D5020">
            <w:pPr>
              <w:pStyle w:val="a6"/>
              <w:jc w:val="center"/>
              <w:rPr>
                <w:color w:val="000000"/>
                <w:sz w:val="27"/>
                <w:szCs w:val="27"/>
              </w:rPr>
            </w:pPr>
          </w:p>
        </w:tc>
      </w:tr>
      <w:tr w:rsidR="009D5020" w:rsidTr="00FA38BE">
        <w:tc>
          <w:tcPr>
            <w:tcW w:w="81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lastRenderedPageBreak/>
              <w:t>1.3</w:t>
            </w:r>
          </w:p>
        </w:tc>
        <w:tc>
          <w:tcPr>
            <w:tcW w:w="3011" w:type="dxa"/>
          </w:tcPr>
          <w:p w:rsidR="009D5020" w:rsidRDefault="009D5020" w:rsidP="004A0A02">
            <w:pPr>
              <w:pStyle w:val="a6"/>
              <w:spacing w:before="0" w:beforeAutospacing="0" w:after="0" w:afterAutospacing="0"/>
              <w:rPr>
                <w:color w:val="000000"/>
                <w:sz w:val="27"/>
                <w:szCs w:val="27"/>
              </w:rPr>
            </w:pPr>
            <w:r>
              <w:rPr>
                <w:color w:val="000000"/>
                <w:sz w:val="27"/>
                <w:szCs w:val="27"/>
              </w:rPr>
              <w:t>Трудоспособного возраста</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38,2</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58,1</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37,4</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57,1</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36,5</w:t>
            </w:r>
          </w:p>
        </w:tc>
        <w:tc>
          <w:tcPr>
            <w:tcW w:w="958" w:type="dxa"/>
          </w:tcPr>
          <w:p w:rsidR="009D5020" w:rsidRDefault="009D5020" w:rsidP="009D5020">
            <w:pPr>
              <w:pStyle w:val="a6"/>
              <w:jc w:val="center"/>
              <w:rPr>
                <w:color w:val="000000"/>
                <w:sz w:val="27"/>
                <w:szCs w:val="27"/>
              </w:rPr>
            </w:pPr>
            <w:r>
              <w:rPr>
                <w:color w:val="000000"/>
                <w:sz w:val="27"/>
                <w:szCs w:val="27"/>
              </w:rPr>
              <w:t>56,1</w:t>
            </w:r>
          </w:p>
          <w:p w:rsidR="009D5020" w:rsidRDefault="009D5020" w:rsidP="009D5020">
            <w:pPr>
              <w:pStyle w:val="a6"/>
              <w:jc w:val="center"/>
              <w:rPr>
                <w:color w:val="000000"/>
                <w:sz w:val="27"/>
                <w:szCs w:val="27"/>
              </w:rPr>
            </w:pPr>
          </w:p>
        </w:tc>
      </w:tr>
      <w:tr w:rsidR="009D5020" w:rsidTr="00FA38BE">
        <w:tc>
          <w:tcPr>
            <w:tcW w:w="81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1.4</w:t>
            </w:r>
          </w:p>
        </w:tc>
        <w:tc>
          <w:tcPr>
            <w:tcW w:w="3011" w:type="dxa"/>
          </w:tcPr>
          <w:p w:rsidR="009D5020" w:rsidRDefault="009D5020" w:rsidP="004A0A02">
            <w:pPr>
              <w:pStyle w:val="a6"/>
              <w:spacing w:before="0" w:beforeAutospacing="0" w:after="0" w:afterAutospacing="0"/>
              <w:rPr>
                <w:color w:val="000000"/>
                <w:sz w:val="27"/>
                <w:szCs w:val="27"/>
              </w:rPr>
            </w:pPr>
            <w:r>
              <w:rPr>
                <w:color w:val="000000"/>
                <w:sz w:val="27"/>
                <w:szCs w:val="27"/>
              </w:rPr>
              <w:t>Старше трудоспособного возраста</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17,2</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26,2</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17,6</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26,9</w:t>
            </w:r>
          </w:p>
        </w:tc>
        <w:tc>
          <w:tcPr>
            <w:tcW w:w="957" w:type="dxa"/>
          </w:tcPr>
          <w:p w:rsidR="009D5020" w:rsidRDefault="009D5020" w:rsidP="004A0A02">
            <w:pPr>
              <w:pStyle w:val="a6"/>
              <w:spacing w:before="0" w:beforeAutospacing="0" w:after="0" w:afterAutospacing="0"/>
              <w:jc w:val="center"/>
              <w:rPr>
                <w:color w:val="000000"/>
                <w:sz w:val="27"/>
                <w:szCs w:val="27"/>
              </w:rPr>
            </w:pPr>
            <w:r>
              <w:rPr>
                <w:color w:val="000000"/>
                <w:sz w:val="27"/>
                <w:szCs w:val="27"/>
              </w:rPr>
              <w:t>17,9</w:t>
            </w:r>
          </w:p>
        </w:tc>
        <w:tc>
          <w:tcPr>
            <w:tcW w:w="958" w:type="dxa"/>
          </w:tcPr>
          <w:p w:rsidR="009D5020" w:rsidRDefault="009D5020" w:rsidP="009D5020">
            <w:pPr>
              <w:pStyle w:val="a6"/>
              <w:rPr>
                <w:color w:val="000000"/>
                <w:sz w:val="27"/>
                <w:szCs w:val="27"/>
              </w:rPr>
            </w:pPr>
            <w:r>
              <w:rPr>
                <w:color w:val="000000"/>
                <w:sz w:val="27"/>
                <w:szCs w:val="27"/>
              </w:rPr>
              <w:t>27,5</w:t>
            </w:r>
          </w:p>
          <w:p w:rsidR="009D5020" w:rsidRDefault="009D5020" w:rsidP="009D5020">
            <w:pPr>
              <w:pStyle w:val="a6"/>
              <w:jc w:val="center"/>
              <w:rPr>
                <w:color w:val="000000"/>
                <w:sz w:val="27"/>
                <w:szCs w:val="27"/>
              </w:rPr>
            </w:pPr>
          </w:p>
        </w:tc>
      </w:tr>
    </w:tbl>
    <w:p w:rsidR="004A0A02" w:rsidRDefault="004A0A02" w:rsidP="004A0A02">
      <w:pPr>
        <w:pStyle w:val="a6"/>
        <w:spacing w:before="0" w:beforeAutospacing="0" w:after="0" w:afterAutospacing="0"/>
        <w:jc w:val="center"/>
        <w:rPr>
          <w:color w:val="000000"/>
          <w:sz w:val="27"/>
          <w:szCs w:val="27"/>
        </w:rPr>
      </w:pPr>
    </w:p>
    <w:p w:rsidR="004A0A02" w:rsidRPr="009D5020" w:rsidRDefault="009D5020" w:rsidP="009D5020">
      <w:pPr>
        <w:spacing w:after="120" w:line="240" w:lineRule="auto"/>
        <w:ind w:firstLine="709"/>
        <w:jc w:val="both"/>
        <w:rPr>
          <w:color w:val="000000"/>
          <w:sz w:val="27"/>
          <w:szCs w:val="27"/>
        </w:rPr>
      </w:pPr>
      <w:r>
        <w:rPr>
          <w:color w:val="000000"/>
          <w:sz w:val="27"/>
          <w:szCs w:val="27"/>
        </w:rPr>
        <w:t>Структура населения Ростовского района постепенно смещается в сторону повышения доли граждан нетрудоспособного возраста, в связи, с чем увеличивается демографическая нагрузка на трудоспособных граждан.</w:t>
      </w:r>
    </w:p>
    <w:p w:rsidR="00783F59" w:rsidRDefault="00783F59" w:rsidP="00FA298A">
      <w:pPr>
        <w:spacing w:after="120" w:line="240" w:lineRule="auto"/>
        <w:ind w:firstLine="709"/>
        <w:jc w:val="both"/>
        <w:rPr>
          <w:szCs w:val="28"/>
        </w:rPr>
      </w:pPr>
      <w:r>
        <w:rPr>
          <w:szCs w:val="28"/>
        </w:rPr>
        <w:t>В последние годы население района незначительно снижается (</w:t>
      </w:r>
      <w:r w:rsidRPr="00783F59">
        <w:rPr>
          <w:szCs w:val="28"/>
        </w:rPr>
        <w:t>~</w:t>
      </w:r>
      <w:r>
        <w:rPr>
          <w:szCs w:val="28"/>
        </w:rPr>
        <w:t xml:space="preserve"> на 300 чел./год.). Основные причины – естественная убыль населения, отток молодежи в</w:t>
      </w:r>
      <w:r w:rsidR="004927BC">
        <w:rPr>
          <w:szCs w:val="28"/>
        </w:rPr>
        <w:t xml:space="preserve"> областной центр и </w:t>
      </w:r>
      <w:proofErr w:type="gramStart"/>
      <w:r w:rsidR="004927BC">
        <w:rPr>
          <w:szCs w:val="28"/>
        </w:rPr>
        <w:t>другие</w:t>
      </w:r>
      <w:proofErr w:type="gramEnd"/>
      <w:r w:rsidR="004927BC">
        <w:rPr>
          <w:szCs w:val="28"/>
        </w:rPr>
        <w:t xml:space="preserve"> более крупные населенные пункты. Темпы убыли населения сдерживаются за счет обозначившейся в последние годы тенденцией увеличения притока мигрантов.</w:t>
      </w:r>
    </w:p>
    <w:p w:rsidR="003F175A" w:rsidRDefault="004927BC" w:rsidP="00FA298A">
      <w:pPr>
        <w:spacing w:after="120" w:line="240" w:lineRule="auto"/>
        <w:ind w:firstLine="709"/>
        <w:jc w:val="both"/>
        <w:rPr>
          <w:szCs w:val="28"/>
        </w:rPr>
      </w:pPr>
      <w:r>
        <w:rPr>
          <w:szCs w:val="28"/>
        </w:rPr>
        <w:t>В дальнейшем в районе вероятнее всего сохранится тенденция к слабовыраженной отрицательной динамике численности населения.</w:t>
      </w:r>
    </w:p>
    <w:p w:rsidR="004927BC" w:rsidRDefault="004927BC" w:rsidP="00FA298A">
      <w:pPr>
        <w:spacing w:after="120" w:line="240" w:lineRule="auto"/>
        <w:ind w:firstLine="709"/>
        <w:jc w:val="both"/>
      </w:pPr>
      <w:r>
        <w:t xml:space="preserve">Порядка половины жителей района проживают в районном центре – г.п. Ростов. Остальная часть населения проживает в сельской местности: </w:t>
      </w:r>
      <w:proofErr w:type="gramStart"/>
      <w:r>
        <w:t xml:space="preserve">Петровское </w:t>
      </w:r>
      <w:proofErr w:type="spellStart"/>
      <w:r>
        <w:t>с.п</w:t>
      </w:r>
      <w:proofErr w:type="spellEnd"/>
      <w:r>
        <w:t xml:space="preserve">., </w:t>
      </w:r>
      <w:proofErr w:type="spellStart"/>
      <w:r>
        <w:t>Семибратовское</w:t>
      </w:r>
      <w:proofErr w:type="spellEnd"/>
      <w:r>
        <w:t xml:space="preserve"> </w:t>
      </w:r>
      <w:proofErr w:type="spellStart"/>
      <w:r>
        <w:t>с.п</w:t>
      </w:r>
      <w:proofErr w:type="spellEnd"/>
      <w:r>
        <w:t xml:space="preserve">., </w:t>
      </w:r>
      <w:proofErr w:type="spellStart"/>
      <w:r>
        <w:t>Ишненское</w:t>
      </w:r>
      <w:proofErr w:type="spellEnd"/>
      <w:r>
        <w:t xml:space="preserve"> </w:t>
      </w:r>
      <w:proofErr w:type="spellStart"/>
      <w:r>
        <w:t>с.п</w:t>
      </w:r>
      <w:proofErr w:type="spellEnd"/>
      <w:r>
        <w:t>., с.п.</w:t>
      </w:r>
      <w:proofErr w:type="gramEnd"/>
      <w:r>
        <w:t xml:space="preserve"> </w:t>
      </w:r>
      <w:proofErr w:type="gramStart"/>
      <w:r>
        <w:t>Поречье-Рыбное</w:t>
      </w:r>
      <w:proofErr w:type="gramEnd"/>
      <w:r>
        <w:t>.</w:t>
      </w:r>
    </w:p>
    <w:p w:rsidR="00BD47E5" w:rsidRDefault="00BD47E5" w:rsidP="00FA298A">
      <w:pPr>
        <w:spacing w:after="120" w:line="240" w:lineRule="auto"/>
        <w:ind w:firstLine="709"/>
        <w:jc w:val="both"/>
      </w:pPr>
      <w:r>
        <w:t xml:space="preserve">Территориально район и г.п. Ростов обладают выгодным географическим расположением: городское поселение расположено </w:t>
      </w:r>
      <w:r w:rsidR="007C37E6">
        <w:t>на</w:t>
      </w:r>
      <w:r>
        <w:t xml:space="preserve"> федеральной трасс</w:t>
      </w:r>
      <w:r w:rsidR="007C37E6">
        <w:t>е</w:t>
      </w:r>
      <w:r>
        <w:t xml:space="preserve"> М-8 «</w:t>
      </w:r>
      <w:proofErr w:type="gramStart"/>
      <w:r>
        <w:t>Москва-Холмогоры</w:t>
      </w:r>
      <w:proofErr w:type="gramEnd"/>
      <w:r>
        <w:t>»</w:t>
      </w:r>
      <w:r w:rsidR="007C37E6">
        <w:t xml:space="preserve"> и на железнодорожной магистрали Москва-Владивосток, Архангельск, Воркута. Благодаря этому </w:t>
      </w:r>
      <w:r>
        <w:t xml:space="preserve">обеспечивается </w:t>
      </w:r>
      <w:r w:rsidR="007C37E6">
        <w:t xml:space="preserve">удобная </w:t>
      </w:r>
      <w:r>
        <w:t>связь с областным центром (60 км</w:t>
      </w:r>
      <w:proofErr w:type="gramStart"/>
      <w:r>
        <w:t>.</w:t>
      </w:r>
      <w:proofErr w:type="gramEnd"/>
      <w:r>
        <w:t xml:space="preserve"> </w:t>
      </w:r>
      <w:proofErr w:type="gramStart"/>
      <w:r>
        <w:t>д</w:t>
      </w:r>
      <w:proofErr w:type="gramEnd"/>
      <w:r>
        <w:t>о г. Ярославль), а так же со столицей (200 км. до г. Москва).</w:t>
      </w:r>
      <w:r w:rsidR="007C37E6">
        <w:t xml:space="preserve"> </w:t>
      </w:r>
    </w:p>
    <w:p w:rsidR="00954D1D" w:rsidRDefault="00954D1D" w:rsidP="00FA298A">
      <w:pPr>
        <w:spacing w:after="120" w:line="240" w:lineRule="auto"/>
        <w:ind w:firstLine="709"/>
        <w:jc w:val="both"/>
      </w:pPr>
      <w:r>
        <w:t>Таким образом, г.п. Ростов, относясь к категории малых городов, представляет достаточно локальное и единое сообщество, пронизанное социальными и межличностными связями. Для таких городов характерен достаточно консервативный социум с его малой мобильностью к передвижению и замедленной реакцией на изменения внешней среды, а так же неблагоприятной демографической ситуацией, характеризующейся существенной деформацией половозрастной структуры населения и оттоком активного населения в крупные промышленные центры (г. Ярославль, г. Москва), что превращает г.п. Ростов в с</w:t>
      </w:r>
      <w:r w:rsidR="00E037CB">
        <w:t>п</w:t>
      </w:r>
      <w:r>
        <w:t>альный город.</w:t>
      </w:r>
    </w:p>
    <w:p w:rsidR="00954D1D" w:rsidRDefault="00954D1D" w:rsidP="00FA298A">
      <w:pPr>
        <w:spacing w:after="120" w:line="240" w:lineRule="auto"/>
        <w:ind w:firstLine="709"/>
        <w:jc w:val="both"/>
      </w:pPr>
      <w:r>
        <w:t>Потенциальные прямые заказчики образовательных услуг чаще всего не могут спрогнозировать собственное будущее в профессиональной деятельности, что приводит к разрыву между складывающейся объективной экономической ситуацией в городе и районе и пожеланиями учащихся и их родителей в получении образовательных услуг определенного ассортимента.</w:t>
      </w:r>
    </w:p>
    <w:p w:rsidR="00BD47E5" w:rsidRDefault="00954D1D" w:rsidP="00FA298A">
      <w:pPr>
        <w:pStyle w:val="1"/>
        <w:numPr>
          <w:ilvl w:val="0"/>
          <w:numId w:val="10"/>
        </w:numPr>
        <w:spacing w:before="0" w:after="120" w:line="240" w:lineRule="auto"/>
        <w:ind w:left="0" w:firstLine="709"/>
        <w:jc w:val="both"/>
        <w:rPr>
          <w:lang w:val="en-US"/>
        </w:rPr>
      </w:pPr>
      <w:bookmarkStart w:id="1" w:name="_Toc509782127"/>
      <w:r>
        <w:lastRenderedPageBreak/>
        <w:t>Социально-экономические особенности муниципального образования</w:t>
      </w:r>
      <w:bookmarkEnd w:id="1"/>
    </w:p>
    <w:p w:rsidR="00954D1D" w:rsidRDefault="00954D1D" w:rsidP="00FA298A">
      <w:pPr>
        <w:spacing w:after="120" w:line="240" w:lineRule="auto"/>
        <w:ind w:firstLine="709"/>
        <w:jc w:val="both"/>
      </w:pPr>
      <w:r>
        <w:t>Ведущими отраслями экономики района и городского поселения являются: промышленное производство (главным образом обрабатывающее)</w:t>
      </w:r>
      <w:r w:rsidR="00EF1F84">
        <w:t xml:space="preserve"> - </w:t>
      </w:r>
      <w:r w:rsidR="00EF1F84">
        <w:rPr>
          <w:rFonts w:ascii="Arial" w:hAnsi="Arial" w:cs="Arial"/>
          <w:color w:val="000000"/>
          <w:sz w:val="25"/>
          <w:szCs w:val="25"/>
          <w:shd w:val="clear" w:color="auto" w:fill="FFFFFF"/>
        </w:rPr>
        <w:t>14,6 %</w:t>
      </w:r>
      <w:r>
        <w:t>, сельское хозяйство</w:t>
      </w:r>
      <w:r w:rsidR="00EF1F84">
        <w:t xml:space="preserve"> - </w:t>
      </w:r>
      <w:r w:rsidR="00EF1F84">
        <w:rPr>
          <w:rFonts w:ascii="Arial" w:hAnsi="Arial" w:cs="Arial"/>
          <w:color w:val="000000"/>
          <w:sz w:val="25"/>
          <w:szCs w:val="25"/>
          <w:shd w:val="clear" w:color="auto" w:fill="FFFFFF"/>
        </w:rPr>
        <w:t>9,0 %</w:t>
      </w:r>
      <w:r>
        <w:t>, сфера строительства</w:t>
      </w:r>
      <w:r w:rsidR="00EF1F84">
        <w:t xml:space="preserve"> - </w:t>
      </w:r>
      <w:r w:rsidR="00EF1F84">
        <w:rPr>
          <w:rFonts w:ascii="Arial" w:hAnsi="Arial" w:cs="Arial"/>
          <w:color w:val="000000"/>
          <w:sz w:val="25"/>
          <w:szCs w:val="25"/>
          <w:shd w:val="clear" w:color="auto" w:fill="FFFFFF"/>
        </w:rPr>
        <w:t>9,2%</w:t>
      </w:r>
      <w:r>
        <w:t xml:space="preserve">, </w:t>
      </w:r>
      <w:r w:rsidR="00EF1F84">
        <w:t>туризма, а так же розничная торговля -</w:t>
      </w:r>
      <w:r w:rsidR="00EF1F84">
        <w:rPr>
          <w:rFonts w:ascii="Arial" w:hAnsi="Arial" w:cs="Arial"/>
          <w:color w:val="000000"/>
          <w:sz w:val="25"/>
          <w:szCs w:val="25"/>
          <w:shd w:val="clear" w:color="auto" w:fill="FFFFFF"/>
        </w:rPr>
        <w:t xml:space="preserve"> 8,4 %</w:t>
      </w:r>
      <w:r w:rsidR="00EF1F84">
        <w:t xml:space="preserve">, </w:t>
      </w:r>
      <w:r w:rsidR="00EF1F84">
        <w:rPr>
          <w:rFonts w:ascii="Arial" w:hAnsi="Arial" w:cs="Arial"/>
          <w:color w:val="000000"/>
          <w:sz w:val="25"/>
          <w:szCs w:val="25"/>
          <w:shd w:val="clear" w:color="auto" w:fill="FFFFFF"/>
        </w:rPr>
        <w:t>7,4% - транспорт.</w:t>
      </w:r>
    </w:p>
    <w:p w:rsidR="00954D1D" w:rsidRDefault="00023EDA" w:rsidP="00FA298A">
      <w:pPr>
        <w:pStyle w:val="a3"/>
        <w:spacing w:after="120" w:line="240" w:lineRule="auto"/>
        <w:ind w:left="0" w:firstLine="709"/>
        <w:contextualSpacing w:val="0"/>
        <w:jc w:val="both"/>
      </w:pPr>
      <w:r>
        <w:t xml:space="preserve">На предприятиях </w:t>
      </w:r>
      <w:r w:rsidRPr="00FA298A">
        <w:rPr>
          <w:b/>
        </w:rPr>
        <w:t>промышленной сферы</w:t>
      </w:r>
      <w:r>
        <w:t xml:space="preserve"> трудятся 5741 человек. С 2011 года количество людей, занятых в данной сфере ежегодно уменьшается. Средняя заработная плата – 25107 рублей</w:t>
      </w:r>
    </w:p>
    <w:p w:rsidR="00023EDA" w:rsidRDefault="00023EDA" w:rsidP="00FA298A">
      <w:pPr>
        <w:pStyle w:val="a3"/>
        <w:spacing w:after="120" w:line="240" w:lineRule="auto"/>
        <w:ind w:left="0" w:firstLine="709"/>
        <w:contextualSpacing w:val="0"/>
        <w:jc w:val="both"/>
      </w:pPr>
      <w:r>
        <w:t xml:space="preserve">После серьезного спада в данной сфере, произошедшего в результате экономического кризиса в стране, под влиянием политики </w:t>
      </w:r>
      <w:proofErr w:type="spellStart"/>
      <w:r>
        <w:t>импортозамещения</w:t>
      </w:r>
      <w:proofErr w:type="spellEnd"/>
      <w:r>
        <w:t xml:space="preserve"> восстановились положительные темпы прироста – 103,6 % по году.</w:t>
      </w:r>
    </w:p>
    <w:p w:rsidR="00023EDA" w:rsidRDefault="00023EDA" w:rsidP="00FA298A">
      <w:pPr>
        <w:pStyle w:val="a3"/>
        <w:spacing w:after="120" w:line="240" w:lineRule="auto"/>
        <w:ind w:left="0" w:firstLine="709"/>
        <w:contextualSpacing w:val="0"/>
        <w:jc w:val="both"/>
      </w:pPr>
      <w:r>
        <w:t>Однако на дальнейшее развитие промышленного производства в районе негативное влияние могут оказать следующие факторы:</w:t>
      </w:r>
    </w:p>
    <w:p w:rsidR="00023EDA" w:rsidRDefault="00023EDA" w:rsidP="00FA298A">
      <w:pPr>
        <w:pStyle w:val="a3"/>
        <w:spacing w:after="120" w:line="240" w:lineRule="auto"/>
        <w:ind w:left="0" w:firstLine="709"/>
        <w:contextualSpacing w:val="0"/>
        <w:jc w:val="both"/>
      </w:pPr>
      <w:r>
        <w:t>Системные проблемы предприятий, обострившиеся в период кризиса;</w:t>
      </w:r>
    </w:p>
    <w:p w:rsidR="00023EDA" w:rsidRDefault="00023EDA" w:rsidP="00FA298A">
      <w:pPr>
        <w:pStyle w:val="a3"/>
        <w:numPr>
          <w:ilvl w:val="0"/>
          <w:numId w:val="11"/>
        </w:numPr>
        <w:spacing w:after="120" w:line="240" w:lineRule="auto"/>
        <w:ind w:left="1418" w:hanging="425"/>
        <w:contextualSpacing w:val="0"/>
        <w:jc w:val="both"/>
      </w:pPr>
      <w:r>
        <w:t>Дефицит оборотных средств;</w:t>
      </w:r>
    </w:p>
    <w:p w:rsidR="00023EDA" w:rsidRDefault="00023EDA" w:rsidP="00FA298A">
      <w:pPr>
        <w:pStyle w:val="a3"/>
        <w:numPr>
          <w:ilvl w:val="0"/>
          <w:numId w:val="11"/>
        </w:numPr>
        <w:spacing w:after="120" w:line="240" w:lineRule="auto"/>
        <w:ind w:left="1418" w:hanging="425"/>
        <w:contextualSpacing w:val="0"/>
        <w:jc w:val="both"/>
      </w:pPr>
      <w:r>
        <w:t>Износ основных фондов предприятий;</w:t>
      </w:r>
    </w:p>
    <w:p w:rsidR="00023EDA" w:rsidRDefault="00023EDA" w:rsidP="00FA298A">
      <w:pPr>
        <w:pStyle w:val="a3"/>
        <w:numPr>
          <w:ilvl w:val="0"/>
          <w:numId w:val="11"/>
        </w:numPr>
        <w:spacing w:after="120" w:line="240" w:lineRule="auto"/>
        <w:ind w:left="1418" w:hanging="425"/>
        <w:contextualSpacing w:val="0"/>
        <w:jc w:val="both"/>
      </w:pPr>
      <w:r>
        <w:t>Дефицит профессиональных кадров.</w:t>
      </w:r>
    </w:p>
    <w:p w:rsidR="00023EDA" w:rsidRDefault="00023EDA" w:rsidP="00FA298A">
      <w:pPr>
        <w:pStyle w:val="a3"/>
        <w:spacing w:after="120" w:line="240" w:lineRule="auto"/>
        <w:ind w:left="0" w:firstLine="709"/>
        <w:contextualSpacing w:val="0"/>
        <w:jc w:val="both"/>
      </w:pPr>
      <w:r>
        <w:t xml:space="preserve">Наиболее </w:t>
      </w:r>
      <w:proofErr w:type="gramStart"/>
      <w:r>
        <w:t>успешными предприятиями, показывающими рост являются</w:t>
      </w:r>
      <w:proofErr w:type="gramEnd"/>
      <w:r>
        <w:t>:</w:t>
      </w:r>
    </w:p>
    <w:p w:rsidR="00023EDA" w:rsidRDefault="00023EDA" w:rsidP="00FA298A">
      <w:pPr>
        <w:pStyle w:val="a3"/>
        <w:numPr>
          <w:ilvl w:val="0"/>
          <w:numId w:val="12"/>
        </w:numPr>
        <w:spacing w:after="120" w:line="240" w:lineRule="auto"/>
        <w:contextualSpacing w:val="0"/>
        <w:jc w:val="both"/>
      </w:pPr>
      <w:r>
        <w:t xml:space="preserve">ОАО «Сыктывкар </w:t>
      </w:r>
      <w:proofErr w:type="spellStart"/>
      <w:r>
        <w:t>Тиссью</w:t>
      </w:r>
      <w:proofErr w:type="spellEnd"/>
      <w:r>
        <w:t xml:space="preserve"> Групп» - целлюлозно-бумажное производство;</w:t>
      </w:r>
    </w:p>
    <w:p w:rsidR="00023EDA" w:rsidRDefault="00023EDA" w:rsidP="00FA298A">
      <w:pPr>
        <w:pStyle w:val="a3"/>
        <w:numPr>
          <w:ilvl w:val="0"/>
          <w:numId w:val="12"/>
        </w:numPr>
        <w:spacing w:after="120" w:line="240" w:lineRule="auto"/>
        <w:contextualSpacing w:val="0"/>
        <w:jc w:val="both"/>
      </w:pPr>
      <w:r>
        <w:t xml:space="preserve">ЗАО «МД-РУС» - обработка </w:t>
      </w:r>
      <w:proofErr w:type="spellStart"/>
      <w:r>
        <w:t>древисины</w:t>
      </w:r>
      <w:proofErr w:type="spellEnd"/>
      <w:r>
        <w:t>;</w:t>
      </w:r>
    </w:p>
    <w:p w:rsidR="00023EDA" w:rsidRDefault="00023EDA" w:rsidP="00FA298A">
      <w:pPr>
        <w:pStyle w:val="a3"/>
        <w:numPr>
          <w:ilvl w:val="0"/>
          <w:numId w:val="12"/>
        </w:numPr>
        <w:spacing w:after="120" w:line="240" w:lineRule="auto"/>
        <w:contextualSpacing w:val="0"/>
        <w:jc w:val="both"/>
      </w:pPr>
      <w:r>
        <w:t>ЗАО «</w:t>
      </w:r>
      <w:proofErr w:type="spellStart"/>
      <w:r>
        <w:t>Атрус</w:t>
      </w:r>
      <w:proofErr w:type="spellEnd"/>
      <w:r>
        <w:t>» - производство пищевых продуктов;</w:t>
      </w:r>
    </w:p>
    <w:p w:rsidR="00023EDA" w:rsidRDefault="00195584" w:rsidP="00FA298A">
      <w:pPr>
        <w:pStyle w:val="a3"/>
        <w:numPr>
          <w:ilvl w:val="0"/>
          <w:numId w:val="12"/>
        </w:numPr>
        <w:spacing w:after="120" w:line="240" w:lineRule="auto"/>
        <w:contextualSpacing w:val="0"/>
        <w:jc w:val="both"/>
      </w:pPr>
      <w:r>
        <w:t>ОАО «РОМЗ» - оптико-механический завод.</w:t>
      </w:r>
    </w:p>
    <w:p w:rsidR="00195584" w:rsidRDefault="00195584" w:rsidP="00FA298A">
      <w:pPr>
        <w:pStyle w:val="a3"/>
        <w:numPr>
          <w:ilvl w:val="0"/>
          <w:numId w:val="12"/>
        </w:numPr>
        <w:spacing w:after="120" w:line="240" w:lineRule="auto"/>
        <w:contextualSpacing w:val="0"/>
        <w:jc w:val="both"/>
      </w:pPr>
      <w:r>
        <w:t>Так же в скором времени планируется запуск фармацевтического производства – завод «Р-</w:t>
      </w:r>
      <w:proofErr w:type="spellStart"/>
      <w:r>
        <w:t>Фарм</w:t>
      </w:r>
      <w:proofErr w:type="spellEnd"/>
      <w:r>
        <w:t>».</w:t>
      </w:r>
    </w:p>
    <w:p w:rsidR="00195584" w:rsidRDefault="00195584" w:rsidP="00FA298A">
      <w:pPr>
        <w:shd w:val="clear" w:color="auto" w:fill="FFFFFF"/>
        <w:spacing w:after="120" w:line="240" w:lineRule="auto"/>
        <w:ind w:firstLine="709"/>
        <w:jc w:val="both"/>
        <w:rPr>
          <w:szCs w:val="28"/>
        </w:rPr>
      </w:pPr>
      <w:r>
        <w:rPr>
          <w:szCs w:val="28"/>
        </w:rPr>
        <w:t xml:space="preserve">С 2016 года сфера промышленного производства в районе характеризуется ростом, однако темпы роста остаются невысокими (порядка 2% в год). При этом ожидается сохранение тенденции опережающего роста обрабатывающих производств по сравнению с остальными видами промышленной деятельности. </w:t>
      </w:r>
    </w:p>
    <w:p w:rsidR="00023EDA" w:rsidRDefault="00DE29B1" w:rsidP="00FA298A">
      <w:pPr>
        <w:pStyle w:val="a3"/>
        <w:spacing w:after="120" w:line="240" w:lineRule="auto"/>
        <w:ind w:left="0" w:firstLine="709"/>
        <w:contextualSpacing w:val="0"/>
        <w:jc w:val="both"/>
      </w:pPr>
      <w:r>
        <w:t xml:space="preserve">Программа развития г.п. Ростов предполагает создание индустриального парка на территории градообразующего предприятия ОАО «РОМЗ». Суммарный объем ожидаемых инвестиций – около 1 млрд. рублей. В результате реализации данного проекта ожидается комплексное развитие и повышение инвестиционной привлекательности промышленной площадки </w:t>
      </w:r>
      <w:r>
        <w:lastRenderedPageBreak/>
        <w:t>ПАО «РОМЗ», развитие на площадке деятельности по производству гражданской продукции.</w:t>
      </w:r>
    </w:p>
    <w:p w:rsidR="00DE29B1" w:rsidRDefault="00DE29B1" w:rsidP="00FA298A">
      <w:pPr>
        <w:pStyle w:val="a3"/>
        <w:spacing w:after="120" w:line="240" w:lineRule="auto"/>
        <w:ind w:left="0" w:firstLine="709"/>
        <w:contextualSpacing w:val="0"/>
        <w:jc w:val="both"/>
      </w:pPr>
      <w:r>
        <w:t>Администрацией Ростовского муниципального района составлен реестр инвестиционных площадок</w:t>
      </w:r>
      <w:r w:rsidR="00885A64">
        <w:t>, включающий 22 свободных земельных участка, расположенных в границах г.п. Ростов, общей площадью 1272, 56 га. В результате повышения инвестиционной привлекательности города и района ожидается, что данные территории будут в скором времени заняты промышленными предприятиями.</w:t>
      </w:r>
    </w:p>
    <w:p w:rsidR="00885A64" w:rsidRDefault="00C452F7" w:rsidP="00FA298A">
      <w:pPr>
        <w:pStyle w:val="a3"/>
        <w:spacing w:after="120" w:line="240" w:lineRule="auto"/>
        <w:ind w:left="0" w:firstLine="709"/>
        <w:contextualSpacing w:val="0"/>
        <w:jc w:val="both"/>
      </w:pPr>
      <w:r>
        <w:t>В сложившихся экономических условиях существующие промышленные предприятия не имеют финансовых возможностей для реализации серьезных инвестиционных проектов, благодаря которым могло бы быть создано большое количество новых рабочих мест. Так же данные предприятия стараются повысить эффективность своей работы, следствием чего зачастую являются сокращения кадров.</w:t>
      </w:r>
    </w:p>
    <w:p w:rsidR="00C452F7" w:rsidRDefault="00C452F7" w:rsidP="00FA298A">
      <w:pPr>
        <w:pStyle w:val="a3"/>
        <w:spacing w:after="120" w:line="240" w:lineRule="auto"/>
        <w:ind w:left="0" w:firstLine="709"/>
        <w:contextualSpacing w:val="0"/>
        <w:jc w:val="both"/>
      </w:pPr>
      <w:r>
        <w:t xml:space="preserve">Тем не </w:t>
      </w:r>
      <w:proofErr w:type="gramStart"/>
      <w:r>
        <w:t>менее</w:t>
      </w:r>
      <w:proofErr w:type="gramEnd"/>
      <w:r>
        <w:t xml:space="preserve"> промышленные предприятия района нуждаются в новых вливаниях высококвалифицированных кадров машиностроительной, фармацевтической, обрабатывающей сферы, а так же в их переподготовке и повышении квалификации.</w:t>
      </w:r>
    </w:p>
    <w:p w:rsidR="00023EDA" w:rsidRDefault="00023EDA" w:rsidP="00FA298A">
      <w:pPr>
        <w:spacing w:after="120" w:line="240" w:lineRule="auto"/>
        <w:ind w:firstLine="709"/>
        <w:jc w:val="both"/>
      </w:pPr>
      <w:proofErr w:type="gramStart"/>
      <w:r>
        <w:t xml:space="preserve">В </w:t>
      </w:r>
      <w:r w:rsidRPr="00FA298A">
        <w:rPr>
          <w:b/>
        </w:rPr>
        <w:t>сельскохозяйственной отрасли</w:t>
      </w:r>
      <w:r>
        <w:t xml:space="preserve"> заняты 623 человека.</w:t>
      </w:r>
      <w:proofErr w:type="gramEnd"/>
      <w:r>
        <w:t xml:space="preserve"> Среднемесячная зарплата – 19690 рублей.</w:t>
      </w:r>
      <w:r w:rsidR="00195584">
        <w:t xml:space="preserve"> По объему отгруженной продукции сельскохозяйственными предприятиями данная сфера показывает устойчивый рост с 2012 года. Рентабельность сельскохозяйственных организаций составляет порядка 20%.</w:t>
      </w:r>
    </w:p>
    <w:p w:rsidR="00195584" w:rsidRDefault="0012548F" w:rsidP="00FA298A">
      <w:pPr>
        <w:spacing w:after="120" w:line="240" w:lineRule="auto"/>
        <w:ind w:firstLine="709"/>
        <w:jc w:val="both"/>
        <w:rPr>
          <w:szCs w:val="28"/>
        </w:rPr>
      </w:pPr>
      <w:proofErr w:type="gramStart"/>
      <w:r>
        <w:rPr>
          <w:szCs w:val="28"/>
        </w:rPr>
        <w:t>В настоящее время сельское хозяйство района с одной стороны, это развивающиеся современные предприятия, которые наращивают объемы производства, а также реализуют эффективные инвестиционные проекты, например, ООО «Красный маяк» ведет капитальное строительство молочно-товарной фермы на 1998 голов фуражных коров, где планируется валовый выход молока 15025 тонн в год (для сравнения в 2014 году валовый выход молока был 4305 тонн), стоимость проекта 112,532</w:t>
      </w:r>
      <w:proofErr w:type="gramEnd"/>
      <w:r>
        <w:rPr>
          <w:szCs w:val="28"/>
        </w:rPr>
        <w:t xml:space="preserve"> млн. руб.</w:t>
      </w:r>
    </w:p>
    <w:p w:rsidR="00885A64" w:rsidRDefault="00885A64" w:rsidP="00FA298A">
      <w:pPr>
        <w:pStyle w:val="a7"/>
        <w:spacing w:after="120"/>
        <w:ind w:firstLine="709"/>
        <w:jc w:val="both"/>
        <w:rPr>
          <w:rFonts w:ascii="Times New Roman" w:hAnsi="Times New Roman"/>
          <w:sz w:val="28"/>
          <w:szCs w:val="28"/>
        </w:rPr>
      </w:pPr>
      <w:proofErr w:type="spellStart"/>
      <w:r>
        <w:rPr>
          <w:rFonts w:ascii="Times New Roman" w:hAnsi="Times New Roman"/>
          <w:sz w:val="28"/>
          <w:szCs w:val="28"/>
        </w:rPr>
        <w:t>Иинвестор</w:t>
      </w:r>
      <w:proofErr w:type="spellEnd"/>
      <w:r>
        <w:rPr>
          <w:rFonts w:ascii="Times New Roman" w:hAnsi="Times New Roman"/>
          <w:sz w:val="28"/>
          <w:szCs w:val="28"/>
        </w:rPr>
        <w:t xml:space="preserve"> «Белая дача» создает предприятие ООО «</w:t>
      </w:r>
      <w:proofErr w:type="spellStart"/>
      <w:r>
        <w:rPr>
          <w:rFonts w:ascii="Times New Roman" w:hAnsi="Times New Roman"/>
          <w:sz w:val="28"/>
          <w:szCs w:val="28"/>
        </w:rPr>
        <w:t>Агронеро</w:t>
      </w:r>
      <w:proofErr w:type="spellEnd"/>
      <w:r>
        <w:rPr>
          <w:rFonts w:ascii="Times New Roman" w:hAnsi="Times New Roman"/>
          <w:sz w:val="28"/>
          <w:szCs w:val="28"/>
        </w:rPr>
        <w:t xml:space="preserve">» - сельскохозяйственный производственный комплекс, включающий в себя </w:t>
      </w:r>
      <w:proofErr w:type="spellStart"/>
      <w:r>
        <w:rPr>
          <w:rFonts w:ascii="Times New Roman" w:hAnsi="Times New Roman"/>
          <w:sz w:val="28"/>
          <w:szCs w:val="28"/>
        </w:rPr>
        <w:t>хранилизе</w:t>
      </w:r>
      <w:proofErr w:type="spellEnd"/>
      <w:r>
        <w:rPr>
          <w:rFonts w:ascii="Times New Roman" w:hAnsi="Times New Roman"/>
          <w:sz w:val="28"/>
          <w:szCs w:val="28"/>
        </w:rPr>
        <w:t xml:space="preserve"> овощей, рассадные теплицы и сопутствующие объекты. </w:t>
      </w:r>
      <w:proofErr w:type="spellStart"/>
      <w:r>
        <w:rPr>
          <w:rFonts w:ascii="Times New Roman" w:hAnsi="Times New Roman"/>
          <w:sz w:val="28"/>
          <w:szCs w:val="28"/>
        </w:rPr>
        <w:t>Обхем</w:t>
      </w:r>
      <w:proofErr w:type="spellEnd"/>
      <w:r>
        <w:rPr>
          <w:rFonts w:ascii="Times New Roman" w:hAnsi="Times New Roman"/>
          <w:sz w:val="28"/>
          <w:szCs w:val="28"/>
        </w:rPr>
        <w:t xml:space="preserve"> инвестиций – 303 млн. рублей. Предполагается создание 40 новых рабочих мест.</w:t>
      </w:r>
    </w:p>
    <w:p w:rsidR="00885A64" w:rsidRDefault="00885A64" w:rsidP="00FA298A">
      <w:pPr>
        <w:spacing w:after="120" w:line="240" w:lineRule="auto"/>
        <w:ind w:firstLine="709"/>
        <w:jc w:val="both"/>
        <w:rPr>
          <w:szCs w:val="28"/>
        </w:rPr>
      </w:pPr>
      <w:r>
        <w:rPr>
          <w:szCs w:val="28"/>
        </w:rPr>
        <w:t>ООО «</w:t>
      </w:r>
      <w:proofErr w:type="spellStart"/>
      <w:r>
        <w:rPr>
          <w:szCs w:val="28"/>
        </w:rPr>
        <w:t>ИнАгроБио</w:t>
      </w:r>
      <w:proofErr w:type="spellEnd"/>
      <w:r>
        <w:rPr>
          <w:szCs w:val="28"/>
        </w:rPr>
        <w:t>» - строительство и эксплуатация рыбного комплекса. Объем инвестиций – 290 млн. рублей. Предполагается создание порядка 300 новых рабочих мест.</w:t>
      </w:r>
    </w:p>
    <w:p w:rsidR="00885A64" w:rsidRDefault="00885A64" w:rsidP="00FA298A">
      <w:pPr>
        <w:spacing w:after="120" w:line="240" w:lineRule="auto"/>
        <w:ind w:firstLine="709"/>
        <w:jc w:val="both"/>
        <w:rPr>
          <w:szCs w:val="28"/>
        </w:rPr>
      </w:pPr>
      <w:r>
        <w:rPr>
          <w:szCs w:val="28"/>
        </w:rPr>
        <w:t xml:space="preserve">ООО «АПК </w:t>
      </w:r>
      <w:proofErr w:type="spellStart"/>
      <w:r>
        <w:rPr>
          <w:szCs w:val="28"/>
        </w:rPr>
        <w:t>Новикъ</w:t>
      </w:r>
      <w:proofErr w:type="spellEnd"/>
      <w:r>
        <w:rPr>
          <w:szCs w:val="28"/>
        </w:rPr>
        <w:t>» - строительство тепличного комплекса по выращиванию овощных и зеленых культур площадью 20,4 га». Объем инвестиций – 5, 172 млрд. рублей, предполагается создание порядка 222 новых рабочих мест.</w:t>
      </w:r>
    </w:p>
    <w:p w:rsidR="00885A64" w:rsidRDefault="00885A64" w:rsidP="00FA298A">
      <w:pPr>
        <w:spacing w:after="120" w:line="240" w:lineRule="auto"/>
        <w:ind w:firstLine="709"/>
        <w:jc w:val="both"/>
        <w:rPr>
          <w:szCs w:val="28"/>
        </w:rPr>
      </w:pPr>
      <w:r>
        <w:rPr>
          <w:szCs w:val="28"/>
        </w:rPr>
        <w:lastRenderedPageBreak/>
        <w:t>УК «Агрохолдинг-Истра» - производство брикетированных кормов. Объем инвестиций – 500 млн. рублей, предполагается создание 30 новых рабочих мест.</w:t>
      </w:r>
    </w:p>
    <w:p w:rsidR="0012548F" w:rsidRDefault="0012548F" w:rsidP="00FA298A">
      <w:pPr>
        <w:spacing w:after="120" w:line="240" w:lineRule="auto"/>
        <w:ind w:firstLine="709"/>
        <w:jc w:val="both"/>
        <w:rPr>
          <w:szCs w:val="28"/>
        </w:rPr>
      </w:pPr>
      <w:r>
        <w:rPr>
          <w:szCs w:val="28"/>
        </w:rPr>
        <w:t xml:space="preserve">С другой стороны, </w:t>
      </w:r>
      <w:r w:rsidR="00885A64">
        <w:rPr>
          <w:szCs w:val="28"/>
        </w:rPr>
        <w:t xml:space="preserve">существующие предприятия - </w:t>
      </w:r>
      <w:r>
        <w:rPr>
          <w:szCs w:val="28"/>
        </w:rPr>
        <w:t>это предприятия с небольшими объемами производства, где недостаточный уровень технического обеспечения, основная масса машин эксплуатировалась более 10 лет, недостаток квалифицированных трудовых ресурсов, работников, владеющих техническими, агрономическими, экономическими знаниями.</w:t>
      </w:r>
    </w:p>
    <w:p w:rsidR="0012548F" w:rsidRDefault="0012548F" w:rsidP="00FA298A">
      <w:pPr>
        <w:pStyle w:val="a7"/>
        <w:spacing w:after="120"/>
        <w:ind w:firstLine="709"/>
        <w:jc w:val="both"/>
        <w:rPr>
          <w:rFonts w:ascii="Times New Roman" w:hAnsi="Times New Roman"/>
          <w:sz w:val="28"/>
          <w:szCs w:val="28"/>
        </w:rPr>
      </w:pPr>
      <w:r>
        <w:rPr>
          <w:rFonts w:ascii="Times New Roman" w:hAnsi="Times New Roman"/>
          <w:sz w:val="28"/>
          <w:szCs w:val="28"/>
        </w:rPr>
        <w:t>В среднем по всем категориям хозяйств ожидаются умеренные темпы прироста производства, так  в 2018 году темпы прироста предусматриваются в среднем  в размере 2%.</w:t>
      </w:r>
    </w:p>
    <w:p w:rsidR="0012548F" w:rsidRDefault="0012548F" w:rsidP="00FA298A">
      <w:pPr>
        <w:pStyle w:val="a7"/>
        <w:spacing w:after="120"/>
        <w:ind w:firstLine="709"/>
        <w:jc w:val="both"/>
        <w:rPr>
          <w:rFonts w:ascii="Times New Roman" w:hAnsi="Times New Roman"/>
          <w:sz w:val="28"/>
          <w:szCs w:val="28"/>
        </w:rPr>
      </w:pPr>
      <w:r>
        <w:rPr>
          <w:rFonts w:ascii="Times New Roman" w:hAnsi="Times New Roman"/>
          <w:sz w:val="28"/>
          <w:szCs w:val="28"/>
        </w:rPr>
        <w:t xml:space="preserve">  В районе реализуется муниципальная программа «Развитие сельского хозяйства Ростовского муниципального района на 2014-2020 годы», основной </w:t>
      </w:r>
      <w:proofErr w:type="gramStart"/>
      <w:r>
        <w:rPr>
          <w:rFonts w:ascii="Times New Roman" w:hAnsi="Times New Roman"/>
          <w:sz w:val="28"/>
          <w:szCs w:val="28"/>
        </w:rPr>
        <w:t>целью</w:t>
      </w:r>
      <w:proofErr w:type="gramEnd"/>
      <w:r>
        <w:rPr>
          <w:rFonts w:ascii="Times New Roman" w:hAnsi="Times New Roman"/>
          <w:sz w:val="28"/>
          <w:szCs w:val="28"/>
        </w:rPr>
        <w:t xml:space="preserve"> которой является 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    </w:t>
      </w:r>
    </w:p>
    <w:p w:rsidR="0012548F" w:rsidRDefault="0012548F" w:rsidP="00FA298A">
      <w:pPr>
        <w:pStyle w:val="a7"/>
        <w:spacing w:after="120"/>
        <w:ind w:firstLine="709"/>
        <w:jc w:val="both"/>
        <w:rPr>
          <w:rFonts w:ascii="Times New Roman" w:hAnsi="Times New Roman"/>
          <w:sz w:val="28"/>
          <w:szCs w:val="28"/>
        </w:rPr>
      </w:pPr>
      <w:r>
        <w:rPr>
          <w:rFonts w:ascii="Times New Roman" w:hAnsi="Times New Roman"/>
          <w:sz w:val="28"/>
          <w:szCs w:val="28"/>
        </w:rPr>
        <w:t>Одним из условий успешного развития аграрного сектора является наличие квалифицированных трудовых ресурсов. Человеческий фактор может и должен выступить источником повышения эффективности и конкурентоспособности в сфере сельского хозяйства.  Для закрепления молодых специалистов, принятых на предприятия агропромышленного комплекса по специальности после окончания учреждений высшего и среднего профессионального образования, предусмотрено предоставление субсидий из областного и местного бюджетов.</w:t>
      </w:r>
    </w:p>
    <w:p w:rsidR="00195584" w:rsidRDefault="0012548F" w:rsidP="00FA298A">
      <w:pPr>
        <w:spacing w:after="120" w:line="240" w:lineRule="auto"/>
        <w:ind w:firstLine="709"/>
        <w:jc w:val="both"/>
      </w:pPr>
      <w:r>
        <w:t xml:space="preserve">В районе так же активно развивается </w:t>
      </w:r>
      <w:r w:rsidRPr="00FA298A">
        <w:rPr>
          <w:b/>
        </w:rPr>
        <w:t>строительная сфера</w:t>
      </w:r>
      <w:r>
        <w:t>. Так, за 2017 год в действие введено 10,2 тыс. кв.м. жилого фонда, за счет чего снизилось количество семей, состоящих на учете в качестве нуждающихся в жилых помещениях.</w:t>
      </w:r>
    </w:p>
    <w:p w:rsidR="00195584" w:rsidRDefault="0012548F" w:rsidP="00FA298A">
      <w:pPr>
        <w:spacing w:after="120" w:line="240" w:lineRule="auto"/>
        <w:ind w:firstLine="709"/>
        <w:jc w:val="both"/>
      </w:pPr>
      <w:r>
        <w:t xml:space="preserve">Активно ведется строительство многоквартирных домов индивидуальными предпринимателями, строительными организациями, а так же частными лицами. </w:t>
      </w:r>
      <w:r w:rsidR="00C452F7">
        <w:t xml:space="preserve">В скором времени предполагается строительство микрорайона № 3. </w:t>
      </w:r>
      <w:r>
        <w:t xml:space="preserve">Помимо этого, развивается инфраструктура: построен и введен в эксплуатацию напорный канализационный коллектор в МКР. № 3., идет строительство водозаборных скважин в д. </w:t>
      </w:r>
      <w:proofErr w:type="spellStart"/>
      <w:r>
        <w:t>Щипачево</w:t>
      </w:r>
      <w:proofErr w:type="spellEnd"/>
      <w:r>
        <w:t xml:space="preserve"> с целью обеспечения функционирования водоочистных сооружений питьевой водой, активно идет газификация района.</w:t>
      </w:r>
      <w:r w:rsidR="00C452F7">
        <w:t xml:space="preserve"> </w:t>
      </w:r>
    </w:p>
    <w:p w:rsidR="0012548F" w:rsidRDefault="00C452F7" w:rsidP="00FA298A">
      <w:pPr>
        <w:spacing w:after="120" w:line="240" w:lineRule="auto"/>
        <w:ind w:firstLine="709"/>
        <w:jc w:val="both"/>
      </w:pPr>
      <w:r>
        <w:t>В данной сфере активно находят себя представители ближнего зарубежья, зачастую не обладающие соответствующим образованием и должной квалификацией.</w:t>
      </w:r>
    </w:p>
    <w:p w:rsidR="00FA298A" w:rsidRDefault="00FA298A" w:rsidP="00FA298A">
      <w:pPr>
        <w:spacing w:after="120" w:line="240" w:lineRule="auto"/>
        <w:ind w:firstLine="709"/>
        <w:jc w:val="both"/>
      </w:pPr>
      <w:r>
        <w:t>Таким образом, строительная сфера остро нуждается в молодых высококвалифицированных кадрах.</w:t>
      </w:r>
    </w:p>
    <w:p w:rsidR="007232CD" w:rsidRDefault="0012548F" w:rsidP="00FA298A">
      <w:pPr>
        <w:spacing w:after="120" w:line="240" w:lineRule="auto"/>
        <w:ind w:firstLine="709"/>
        <w:jc w:val="both"/>
      </w:pPr>
      <w:r>
        <w:lastRenderedPageBreak/>
        <w:t xml:space="preserve">Ростов популярен у российских и зарубежных </w:t>
      </w:r>
      <w:r w:rsidRPr="00FA298A">
        <w:rPr>
          <w:b/>
        </w:rPr>
        <w:t>туристов</w:t>
      </w:r>
      <w:r>
        <w:t xml:space="preserve">. </w:t>
      </w:r>
      <w:r w:rsidR="007232CD">
        <w:t>Годовой поток туристов и экскурсантов – более 550 тыс. чел.</w:t>
      </w:r>
    </w:p>
    <w:p w:rsidR="0012548F" w:rsidRDefault="0012548F" w:rsidP="00FA298A">
      <w:pPr>
        <w:spacing w:after="120" w:line="240" w:lineRule="auto"/>
        <w:ind w:firstLine="709"/>
        <w:jc w:val="both"/>
      </w:pPr>
      <w:r>
        <w:t xml:space="preserve">Однако Ростов чаще всего рассматривается в качестве «туризма одного дня». </w:t>
      </w:r>
      <w:r w:rsidR="00DE29B1">
        <w:t xml:space="preserve">Чаще всего люди приезжают на одни выходные, посещают Кремль, предприятия общественного питания, и не задерживаются надолго. </w:t>
      </w:r>
    </w:p>
    <w:p w:rsidR="00DE29B1" w:rsidRDefault="00DE29B1" w:rsidP="00FA298A">
      <w:pPr>
        <w:spacing w:after="120" w:line="240" w:lineRule="auto"/>
        <w:ind w:firstLine="709"/>
        <w:jc w:val="both"/>
      </w:pPr>
      <w:r>
        <w:t xml:space="preserve">В программе развития г.п. Ростов особое внимание уделяется развитию данного направления. Концепция программы предполагает завлечение в город обеспеченных туристов, а так же уход от понятия «туризма одного дня». Это предполагается сделать за счет увеличения плотности и масштабности «событий», создания связанных туристических маршрутов, увеличения разнообразия количества мест, привлекающих туристов и повышения качества инфраструктуры и городской среды. </w:t>
      </w:r>
    </w:p>
    <w:p w:rsidR="00FA298A" w:rsidRDefault="007C37E6" w:rsidP="00FA298A">
      <w:pPr>
        <w:spacing w:after="120" w:line="240" w:lineRule="auto"/>
        <w:ind w:firstLine="709"/>
        <w:jc w:val="both"/>
      </w:pPr>
      <w:r>
        <w:t>Очевидно, что</w:t>
      </w:r>
      <w:r w:rsidR="00DE29B1">
        <w:t xml:space="preserve"> в ближайшем будущем станут актуальны и востребованы специалисты сферы сервиса и обслуживания, без которых невозможна реализаци</w:t>
      </w:r>
      <w:r w:rsidR="00FA298A">
        <w:t>я</w:t>
      </w:r>
      <w:r w:rsidR="00DE29B1">
        <w:t xml:space="preserve"> данной программы развития.</w:t>
      </w:r>
    </w:p>
    <w:p w:rsidR="007C37E6" w:rsidRDefault="007C37E6" w:rsidP="00FA298A">
      <w:pPr>
        <w:spacing w:after="120" w:line="240" w:lineRule="auto"/>
        <w:ind w:firstLine="709"/>
        <w:jc w:val="both"/>
      </w:pPr>
      <w:r>
        <w:t>Таким образом, г.п. Ростов и Ростовский муниципальный район имеют на сегодняшний день следующие социально-экономические проблемы:</w:t>
      </w:r>
    </w:p>
    <w:p w:rsidR="007C37E6" w:rsidRDefault="007C37E6" w:rsidP="007C37E6">
      <w:pPr>
        <w:pStyle w:val="a3"/>
        <w:numPr>
          <w:ilvl w:val="0"/>
          <w:numId w:val="13"/>
        </w:numPr>
        <w:spacing w:after="120" w:line="240" w:lineRule="auto"/>
        <w:jc w:val="both"/>
      </w:pPr>
      <w:r>
        <w:t>Низкий технический уровень основной массы производственных объектов;</w:t>
      </w:r>
    </w:p>
    <w:p w:rsidR="007C37E6" w:rsidRDefault="007C37E6" w:rsidP="007C37E6">
      <w:pPr>
        <w:pStyle w:val="a3"/>
        <w:numPr>
          <w:ilvl w:val="0"/>
          <w:numId w:val="13"/>
        </w:numPr>
        <w:spacing w:after="120" w:line="240" w:lineRule="auto"/>
        <w:jc w:val="both"/>
      </w:pPr>
      <w:r>
        <w:t>Слабое использование имеющихся местных ресурсов и возможностей;</w:t>
      </w:r>
    </w:p>
    <w:p w:rsidR="007C37E6" w:rsidRDefault="007C37E6" w:rsidP="007C37E6">
      <w:pPr>
        <w:pStyle w:val="a3"/>
        <w:numPr>
          <w:ilvl w:val="0"/>
          <w:numId w:val="13"/>
        </w:numPr>
        <w:spacing w:after="120" w:line="240" w:lineRule="auto"/>
        <w:jc w:val="both"/>
      </w:pPr>
      <w:r>
        <w:t>Утрата традиционных самобытных производств;</w:t>
      </w:r>
    </w:p>
    <w:p w:rsidR="007C37E6" w:rsidRDefault="006C51D8" w:rsidP="007C37E6">
      <w:pPr>
        <w:pStyle w:val="a3"/>
        <w:numPr>
          <w:ilvl w:val="0"/>
          <w:numId w:val="13"/>
        </w:numPr>
        <w:spacing w:after="120" w:line="240" w:lineRule="auto"/>
        <w:jc w:val="both"/>
      </w:pPr>
      <w:r>
        <w:t xml:space="preserve">Рост числа лиц, нуждающихся в трудоустройстве: молодежь, лица пенсионного возраста, кадров, освобождаемых </w:t>
      </w:r>
      <w:proofErr w:type="gramStart"/>
      <w:r>
        <w:t>с</w:t>
      </w:r>
      <w:proofErr w:type="gramEnd"/>
      <w:r>
        <w:t xml:space="preserve"> связи с оптимизацией производств;</w:t>
      </w:r>
    </w:p>
    <w:p w:rsidR="006C51D8" w:rsidRDefault="006C51D8" w:rsidP="007C37E6">
      <w:pPr>
        <w:pStyle w:val="a3"/>
        <w:numPr>
          <w:ilvl w:val="0"/>
          <w:numId w:val="13"/>
        </w:numPr>
        <w:spacing w:after="120" w:line="240" w:lineRule="auto"/>
        <w:jc w:val="both"/>
      </w:pPr>
      <w:r>
        <w:t>Диспропорции в развитии производственных и непроизводственных сфер;</w:t>
      </w:r>
    </w:p>
    <w:p w:rsidR="006C51D8" w:rsidRDefault="006C51D8" w:rsidP="007C37E6">
      <w:pPr>
        <w:pStyle w:val="a3"/>
        <w:numPr>
          <w:ilvl w:val="0"/>
          <w:numId w:val="13"/>
        </w:numPr>
        <w:spacing w:after="120" w:line="240" w:lineRule="auto"/>
        <w:jc w:val="both"/>
      </w:pPr>
      <w:r>
        <w:t>Отставание в развитии жилищно-коммунального хозяйства;</w:t>
      </w:r>
    </w:p>
    <w:p w:rsidR="006C51D8" w:rsidRDefault="006C51D8" w:rsidP="007C37E6">
      <w:pPr>
        <w:pStyle w:val="a3"/>
        <w:numPr>
          <w:ilvl w:val="0"/>
          <w:numId w:val="13"/>
        </w:numPr>
        <w:spacing w:after="120" w:line="240" w:lineRule="auto"/>
        <w:jc w:val="both"/>
      </w:pPr>
      <w:r>
        <w:t>Низкое качество городской среды;</w:t>
      </w:r>
    </w:p>
    <w:p w:rsidR="006C51D8" w:rsidRDefault="006C51D8" w:rsidP="007C37E6">
      <w:pPr>
        <w:pStyle w:val="a3"/>
        <w:numPr>
          <w:ilvl w:val="0"/>
          <w:numId w:val="13"/>
        </w:numPr>
        <w:spacing w:after="120" w:line="240" w:lineRule="auto"/>
        <w:jc w:val="both"/>
      </w:pPr>
      <w:r>
        <w:t>Отток активной части молодого населения в крупные промышленные центры.</w:t>
      </w:r>
    </w:p>
    <w:p w:rsidR="006C51D8" w:rsidRDefault="006C51D8" w:rsidP="006C51D8">
      <w:pPr>
        <w:spacing w:after="120" w:line="240" w:lineRule="auto"/>
        <w:jc w:val="both"/>
      </w:pPr>
      <w:r>
        <w:t>Очевидно, что модель, при которой профессиональная образовательная организация является центром по подготовке кадров для одного-двух градообразующих предприятий, не подходит для малого города, которым является г.п. Ростов. Кадрово-профессиональная структура экономики района широка и разнообразна, поэтому недостаточно совершенствовать образовательный процесс в рамках достаточно узкого профиля профессий.</w:t>
      </w:r>
    </w:p>
    <w:p w:rsidR="006C51D8" w:rsidRDefault="006C51D8" w:rsidP="006C51D8">
      <w:pPr>
        <w:spacing w:after="120" w:line="240" w:lineRule="auto"/>
        <w:jc w:val="both"/>
      </w:pPr>
      <w:r>
        <w:t xml:space="preserve">Удовлетворить кадровые образовательные потребности населения района возможно только благодаря широкому спектру образовательных услуг, индивидуализации образовательных программ и повышению мобильности и </w:t>
      </w:r>
      <w:proofErr w:type="spellStart"/>
      <w:r>
        <w:t>адаптируемости</w:t>
      </w:r>
      <w:proofErr w:type="spellEnd"/>
      <w:r>
        <w:t xml:space="preserve"> ПОО под внешние условия.</w:t>
      </w:r>
    </w:p>
    <w:p w:rsidR="00FA298A" w:rsidRDefault="00FA298A" w:rsidP="00FA298A">
      <w:pPr>
        <w:pStyle w:val="1"/>
        <w:numPr>
          <w:ilvl w:val="0"/>
          <w:numId w:val="10"/>
        </w:numPr>
        <w:jc w:val="both"/>
      </w:pPr>
      <w:bookmarkStart w:id="2" w:name="_Toc509782128"/>
      <w:r w:rsidRPr="00FA298A">
        <w:lastRenderedPageBreak/>
        <w:t>Образовательная среда региона</w:t>
      </w:r>
      <w:bookmarkEnd w:id="2"/>
    </w:p>
    <w:p w:rsidR="009D5020" w:rsidRDefault="009D5020" w:rsidP="009D5020">
      <w:pPr>
        <w:pStyle w:val="a6"/>
        <w:spacing w:before="0" w:beforeAutospacing="0" w:after="0" w:afterAutospacing="0"/>
        <w:ind w:firstLine="360"/>
        <w:jc w:val="both"/>
        <w:rPr>
          <w:color w:val="000000"/>
          <w:sz w:val="27"/>
          <w:szCs w:val="27"/>
        </w:rPr>
      </w:pPr>
      <w:r>
        <w:rPr>
          <w:color w:val="000000"/>
          <w:sz w:val="27"/>
          <w:szCs w:val="27"/>
        </w:rPr>
        <w:t>В Ростовском муниципальном районе по состоянию 01.01.201</w:t>
      </w:r>
      <w:r>
        <w:rPr>
          <w:color w:val="000000"/>
          <w:sz w:val="27"/>
          <w:szCs w:val="27"/>
        </w:rPr>
        <w:t>8</w:t>
      </w:r>
      <w:r>
        <w:rPr>
          <w:color w:val="000000"/>
          <w:sz w:val="27"/>
          <w:szCs w:val="27"/>
        </w:rPr>
        <w:t xml:space="preserve"> г. функционирует сеть из 6</w:t>
      </w:r>
      <w:r>
        <w:rPr>
          <w:color w:val="000000"/>
          <w:sz w:val="27"/>
          <w:szCs w:val="27"/>
        </w:rPr>
        <w:t>3</w:t>
      </w:r>
      <w:r>
        <w:rPr>
          <w:color w:val="000000"/>
          <w:sz w:val="27"/>
          <w:szCs w:val="27"/>
        </w:rPr>
        <w:t xml:space="preserve"> </w:t>
      </w:r>
      <w:proofErr w:type="gramStart"/>
      <w:r>
        <w:rPr>
          <w:color w:val="000000"/>
          <w:sz w:val="27"/>
          <w:szCs w:val="27"/>
        </w:rPr>
        <w:t>образовательных</w:t>
      </w:r>
      <w:proofErr w:type="gramEnd"/>
      <w:r>
        <w:rPr>
          <w:color w:val="000000"/>
          <w:sz w:val="27"/>
          <w:szCs w:val="27"/>
        </w:rPr>
        <w:t xml:space="preserve"> учреждения:</w:t>
      </w:r>
    </w:p>
    <w:p w:rsidR="009D5020" w:rsidRDefault="009D5020" w:rsidP="009D5020">
      <w:pPr>
        <w:pStyle w:val="a6"/>
        <w:spacing w:before="0" w:beforeAutospacing="0" w:after="0" w:afterAutospacing="0"/>
        <w:jc w:val="both"/>
        <w:rPr>
          <w:color w:val="000000"/>
          <w:sz w:val="27"/>
          <w:szCs w:val="27"/>
        </w:rPr>
      </w:pPr>
      <w:r>
        <w:rPr>
          <w:color w:val="000000"/>
          <w:sz w:val="27"/>
          <w:szCs w:val="27"/>
        </w:rPr>
        <w:t>- 3</w:t>
      </w:r>
      <w:r>
        <w:rPr>
          <w:color w:val="000000"/>
          <w:sz w:val="27"/>
          <w:szCs w:val="27"/>
        </w:rPr>
        <w:t>1</w:t>
      </w:r>
      <w:r>
        <w:rPr>
          <w:color w:val="000000"/>
          <w:sz w:val="27"/>
          <w:szCs w:val="27"/>
        </w:rPr>
        <w:t xml:space="preserve"> дошкольное учреждение и 18 дошкольных гру</w:t>
      </w:r>
      <w:proofErr w:type="gramStart"/>
      <w:r>
        <w:rPr>
          <w:color w:val="000000"/>
          <w:sz w:val="27"/>
          <w:szCs w:val="27"/>
        </w:rPr>
        <w:t>пп в шк</w:t>
      </w:r>
      <w:proofErr w:type="gramEnd"/>
      <w:r>
        <w:rPr>
          <w:color w:val="000000"/>
          <w:sz w:val="27"/>
          <w:szCs w:val="27"/>
        </w:rPr>
        <w:t>олах с 3434 чел. воспитанников;</w:t>
      </w:r>
    </w:p>
    <w:p w:rsidR="009D5020" w:rsidRDefault="009D5020" w:rsidP="009D5020">
      <w:pPr>
        <w:pStyle w:val="a6"/>
        <w:spacing w:before="0" w:beforeAutospacing="0" w:after="0" w:afterAutospacing="0"/>
        <w:jc w:val="both"/>
        <w:rPr>
          <w:color w:val="000000"/>
          <w:sz w:val="27"/>
          <w:szCs w:val="27"/>
        </w:rPr>
      </w:pPr>
      <w:r>
        <w:rPr>
          <w:color w:val="000000"/>
          <w:sz w:val="27"/>
          <w:szCs w:val="27"/>
        </w:rPr>
        <w:t>- 24 общеобразовательных учреждений с 5802 чел. обучающихся;</w:t>
      </w:r>
    </w:p>
    <w:p w:rsidR="009D5020" w:rsidRDefault="009D5020" w:rsidP="009D5020">
      <w:pPr>
        <w:pStyle w:val="a6"/>
        <w:spacing w:before="0" w:beforeAutospacing="0" w:after="0" w:afterAutospacing="0"/>
        <w:jc w:val="both"/>
        <w:rPr>
          <w:color w:val="000000"/>
          <w:sz w:val="27"/>
          <w:szCs w:val="27"/>
        </w:rPr>
      </w:pPr>
      <w:r>
        <w:rPr>
          <w:color w:val="000000"/>
          <w:sz w:val="27"/>
          <w:szCs w:val="27"/>
        </w:rPr>
        <w:t>- 9 учреждений дополнительного образования с 5622 чел. обучающихся;</w:t>
      </w:r>
    </w:p>
    <w:p w:rsidR="009D5020" w:rsidRDefault="009D5020" w:rsidP="009D5020">
      <w:pPr>
        <w:pStyle w:val="a6"/>
        <w:spacing w:before="0" w:beforeAutospacing="0" w:after="0" w:afterAutospacing="0"/>
        <w:jc w:val="both"/>
        <w:rPr>
          <w:color w:val="000000"/>
          <w:sz w:val="27"/>
          <w:szCs w:val="27"/>
        </w:rPr>
      </w:pPr>
      <w:r>
        <w:rPr>
          <w:color w:val="000000"/>
          <w:sz w:val="27"/>
          <w:szCs w:val="27"/>
        </w:rPr>
        <w:t>- МОУ центр психолого-медико-социального сопровождения детей</w:t>
      </w:r>
      <w:r>
        <w:rPr>
          <w:color w:val="000000"/>
          <w:sz w:val="27"/>
          <w:szCs w:val="27"/>
        </w:rPr>
        <w:t xml:space="preserve"> «Содействие»</w:t>
      </w:r>
      <w:r>
        <w:rPr>
          <w:color w:val="000000"/>
          <w:sz w:val="27"/>
          <w:szCs w:val="27"/>
        </w:rPr>
        <w:t>;</w:t>
      </w:r>
    </w:p>
    <w:p w:rsidR="009D5020" w:rsidRPr="009D5020" w:rsidRDefault="009D5020" w:rsidP="009D5020">
      <w:pPr>
        <w:pStyle w:val="a6"/>
        <w:spacing w:before="0" w:beforeAutospacing="0" w:after="0" w:afterAutospacing="0"/>
        <w:jc w:val="both"/>
        <w:rPr>
          <w:color w:val="000000"/>
          <w:sz w:val="27"/>
          <w:szCs w:val="27"/>
        </w:rPr>
      </w:pPr>
      <w:r>
        <w:rPr>
          <w:color w:val="000000"/>
          <w:sz w:val="27"/>
          <w:szCs w:val="27"/>
        </w:rPr>
        <w:t>- МАУ детский оздоровительный центр «Борок».</w:t>
      </w:r>
    </w:p>
    <w:p w:rsidR="00FA298A" w:rsidRDefault="006A48D1" w:rsidP="00FA298A">
      <w:pPr>
        <w:spacing w:after="120" w:line="240" w:lineRule="auto"/>
        <w:ind w:firstLine="709"/>
        <w:jc w:val="both"/>
        <w:rPr>
          <w:color w:val="000000" w:themeColor="text1"/>
        </w:rPr>
      </w:pPr>
      <w:r w:rsidRPr="009D5020">
        <w:t xml:space="preserve">В 9-11 классах обучаются </w:t>
      </w:r>
      <w:r w:rsidR="009D5020" w:rsidRPr="009D5020">
        <w:t>758</w:t>
      </w:r>
      <w:r w:rsidRPr="009D5020">
        <w:t xml:space="preserve"> детей.</w:t>
      </w:r>
      <w:r>
        <w:rPr>
          <w:color w:val="FF0000"/>
        </w:rPr>
        <w:t xml:space="preserve"> </w:t>
      </w:r>
      <w:r w:rsidRPr="006A48D1">
        <w:rPr>
          <w:color w:val="000000" w:themeColor="text1"/>
        </w:rPr>
        <w:t xml:space="preserve">Большинство выпускников </w:t>
      </w:r>
      <w:proofErr w:type="gramStart"/>
      <w:r w:rsidRPr="006A48D1">
        <w:rPr>
          <w:color w:val="000000" w:themeColor="text1"/>
        </w:rPr>
        <w:t>нацелены</w:t>
      </w:r>
      <w:proofErr w:type="gramEnd"/>
      <w:r w:rsidRPr="006A48D1">
        <w:rPr>
          <w:color w:val="000000" w:themeColor="text1"/>
        </w:rPr>
        <w:t xml:space="preserve"> на дальнейшее обучение в ВУЗах или </w:t>
      </w:r>
      <w:proofErr w:type="spellStart"/>
      <w:r w:rsidRPr="006A48D1">
        <w:rPr>
          <w:color w:val="000000" w:themeColor="text1"/>
        </w:rPr>
        <w:t>СУЗах</w:t>
      </w:r>
      <w:proofErr w:type="spellEnd"/>
      <w:r w:rsidRPr="006A48D1">
        <w:rPr>
          <w:color w:val="000000" w:themeColor="text1"/>
        </w:rPr>
        <w:t xml:space="preserve"> </w:t>
      </w:r>
      <w:r>
        <w:rPr>
          <w:color w:val="000000" w:themeColor="text1"/>
        </w:rPr>
        <w:t>крупных промышленных центров (Ярославль, Москва, Санкт-Петербург и др.), а так же на последующее устройство на работу в этих городах.</w:t>
      </w:r>
    </w:p>
    <w:p w:rsidR="007232CD" w:rsidRDefault="007232CD" w:rsidP="00FA298A">
      <w:pPr>
        <w:spacing w:after="120" w:line="240" w:lineRule="auto"/>
        <w:ind w:firstLine="709"/>
        <w:jc w:val="both"/>
        <w:rPr>
          <w:color w:val="000000" w:themeColor="text1"/>
        </w:rPr>
      </w:pPr>
      <w:r>
        <w:rPr>
          <w:color w:val="000000" w:themeColor="text1"/>
        </w:rPr>
        <w:t xml:space="preserve">Это вызвано специфической особенностью малых городов, которая проявляется в ограниченности спектра образовательных услуг, отсутствием ВУЗов, что приводит к оттоку молодежи в крупные города. </w:t>
      </w:r>
    </w:p>
    <w:p w:rsidR="006A48D1" w:rsidRDefault="006A48D1" w:rsidP="00FA298A">
      <w:pPr>
        <w:spacing w:after="120" w:line="240" w:lineRule="auto"/>
        <w:ind w:firstLine="709"/>
        <w:jc w:val="both"/>
        <w:rPr>
          <w:color w:val="000000" w:themeColor="text1"/>
        </w:rPr>
      </w:pPr>
      <w:r>
        <w:rPr>
          <w:color w:val="000000" w:themeColor="text1"/>
        </w:rPr>
        <w:t xml:space="preserve">Тем не </w:t>
      </w:r>
      <w:proofErr w:type="gramStart"/>
      <w:r>
        <w:rPr>
          <w:color w:val="000000" w:themeColor="text1"/>
        </w:rPr>
        <w:t>менее</w:t>
      </w:r>
      <w:proofErr w:type="gramEnd"/>
      <w:r>
        <w:rPr>
          <w:color w:val="000000" w:themeColor="text1"/>
        </w:rPr>
        <w:t xml:space="preserve"> в профессиональных образовательных организациях района обучается порядка </w:t>
      </w:r>
      <w:r w:rsidR="007232CD">
        <w:rPr>
          <w:color w:val="000000" w:themeColor="text1"/>
        </w:rPr>
        <w:t>1000 студентов.</w:t>
      </w:r>
    </w:p>
    <w:p w:rsidR="007232CD" w:rsidRDefault="007232CD" w:rsidP="00FA298A">
      <w:pPr>
        <w:spacing w:after="120" w:line="240" w:lineRule="auto"/>
        <w:ind w:firstLine="709"/>
        <w:jc w:val="both"/>
        <w:rPr>
          <w:color w:val="000000" w:themeColor="text1"/>
        </w:rPr>
      </w:pPr>
      <w:r>
        <w:rPr>
          <w:color w:val="000000" w:themeColor="text1"/>
        </w:rPr>
        <w:t xml:space="preserve">На территории г.п. Ростов помимо Ростовского колледжа отраслевых технологий функционирует Ростовский педагогический колледж, в котором обучается порядка </w:t>
      </w:r>
      <w:r w:rsidR="009D5020">
        <w:t>4</w:t>
      </w:r>
      <w:r w:rsidRPr="009D5020">
        <w:t>00</w:t>
      </w:r>
      <w:r>
        <w:rPr>
          <w:color w:val="000000" w:themeColor="text1"/>
        </w:rPr>
        <w:t xml:space="preserve"> студентов. Педагогический колледж можно считать конкурентом на рынке образовательных услуг лишь отчасти, поскольку профессии и специальности, по которым в нём </w:t>
      </w:r>
      <w:proofErr w:type="gramStart"/>
      <w:r>
        <w:rPr>
          <w:color w:val="000000" w:themeColor="text1"/>
        </w:rPr>
        <w:t>ве</w:t>
      </w:r>
      <w:r w:rsidR="004A2DA3">
        <w:rPr>
          <w:color w:val="000000" w:themeColor="text1"/>
        </w:rPr>
        <w:t>дется подготовка не имеют</w:t>
      </w:r>
      <w:proofErr w:type="gramEnd"/>
      <w:r w:rsidR="004A2DA3">
        <w:rPr>
          <w:color w:val="000000" w:themeColor="text1"/>
        </w:rPr>
        <w:t xml:space="preserve"> взаимных пересечением с колледжем отраслевых технологий.</w:t>
      </w:r>
    </w:p>
    <w:p w:rsidR="004A2DA3" w:rsidRDefault="004A2DA3" w:rsidP="00FA298A">
      <w:pPr>
        <w:spacing w:after="120" w:line="240" w:lineRule="auto"/>
        <w:ind w:firstLine="709"/>
        <w:jc w:val="both"/>
        <w:rPr>
          <w:color w:val="000000" w:themeColor="text1"/>
        </w:rPr>
      </w:pPr>
      <w:r>
        <w:rPr>
          <w:color w:val="000000" w:themeColor="text1"/>
        </w:rPr>
        <w:t xml:space="preserve">Таким образом, можно сделать вывод, что на территории поселения и района отсутствуют прямые конкуренты на рынке образовательных услуг. </w:t>
      </w:r>
    </w:p>
    <w:p w:rsidR="004A2DA3" w:rsidRDefault="004A2DA3" w:rsidP="00FA298A">
      <w:pPr>
        <w:spacing w:after="120" w:line="240" w:lineRule="auto"/>
        <w:ind w:firstLine="709"/>
        <w:jc w:val="both"/>
        <w:rPr>
          <w:color w:val="000000" w:themeColor="text1"/>
        </w:rPr>
      </w:pPr>
      <w:r>
        <w:rPr>
          <w:color w:val="000000" w:themeColor="text1"/>
        </w:rPr>
        <w:t xml:space="preserve">Однако, популярность и востребованность </w:t>
      </w:r>
      <w:proofErr w:type="gramStart"/>
      <w:r>
        <w:rPr>
          <w:color w:val="000000" w:themeColor="text1"/>
        </w:rPr>
        <w:t>услуг, оказываемых Ростовским колледжем отраслевых технологий снижает</w:t>
      </w:r>
      <w:proofErr w:type="gramEnd"/>
      <w:r>
        <w:rPr>
          <w:color w:val="000000" w:themeColor="text1"/>
        </w:rPr>
        <w:t xml:space="preserve"> тот факт, что социально-экономическое развитие региона, потребность местных предприятий в кадрах не может удовлетворить всем желающим работать на благо экономики района. Многие выпускники колледжа не могут найти себя на местном рынке труда, что снижает престиж, имидж и ценность обучения в колледже. По этой причине все большее количество активной молодежи выбирает для себя обучение и дальнейшую реализацию в крупных городах.</w:t>
      </w:r>
    </w:p>
    <w:p w:rsidR="004A2DA3" w:rsidRDefault="004A2DA3" w:rsidP="00FA298A">
      <w:pPr>
        <w:spacing w:after="120" w:line="240" w:lineRule="auto"/>
        <w:ind w:firstLine="709"/>
        <w:jc w:val="both"/>
        <w:rPr>
          <w:color w:val="000000" w:themeColor="text1"/>
        </w:rPr>
      </w:pPr>
      <w:r>
        <w:rPr>
          <w:color w:val="000000" w:themeColor="text1"/>
        </w:rPr>
        <w:t xml:space="preserve">Выходом из этого может стать расширение профиля оказываемых образовательных услуг, индивидуализация образовательных программ (в т.ч. краткосрочных) под конкретные нужды конкретных предприятий и даже граждан с целью удовлетворения всех потребностей экономики района. Необходимо активное взаимодействие с предприятиями, инвесторами, </w:t>
      </w:r>
      <w:r>
        <w:rPr>
          <w:color w:val="000000" w:themeColor="text1"/>
        </w:rPr>
        <w:lastRenderedPageBreak/>
        <w:t>районной администрацией для корректировки перечня оказываемых образовательных услуг.</w:t>
      </w:r>
    </w:p>
    <w:p w:rsidR="004A2DA3" w:rsidRPr="004A2DA3" w:rsidRDefault="004A2DA3" w:rsidP="004A2DA3">
      <w:pPr>
        <w:pStyle w:val="1"/>
        <w:numPr>
          <w:ilvl w:val="0"/>
          <w:numId w:val="10"/>
        </w:numPr>
        <w:jc w:val="both"/>
      </w:pPr>
      <w:bookmarkStart w:id="3" w:name="_Toc509782129"/>
      <w:r>
        <w:t>Вывод</w:t>
      </w:r>
      <w:bookmarkEnd w:id="3"/>
    </w:p>
    <w:p w:rsidR="007232CD" w:rsidRPr="009D5020" w:rsidRDefault="00673275" w:rsidP="009D5020">
      <w:pPr>
        <w:pStyle w:val="a3"/>
        <w:numPr>
          <w:ilvl w:val="0"/>
          <w:numId w:val="14"/>
        </w:numPr>
        <w:spacing w:after="120" w:line="240" w:lineRule="auto"/>
        <w:ind w:left="851" w:hanging="425"/>
        <w:jc w:val="both"/>
      </w:pPr>
      <w:r w:rsidRPr="009D5020">
        <w:t>У ПОО на территории района отсутствуют прямые конкуренты на рынке образовательных услуг;</w:t>
      </w:r>
    </w:p>
    <w:p w:rsidR="00673275" w:rsidRPr="009D5020" w:rsidRDefault="00673275" w:rsidP="009D5020">
      <w:pPr>
        <w:pStyle w:val="a3"/>
        <w:numPr>
          <w:ilvl w:val="0"/>
          <w:numId w:val="14"/>
        </w:numPr>
        <w:spacing w:after="120" w:line="240" w:lineRule="auto"/>
        <w:ind w:left="851" w:hanging="425"/>
        <w:jc w:val="both"/>
      </w:pPr>
      <w:r w:rsidRPr="009D5020">
        <w:t>ПОО не оказывает максимально возможный перечень образовательных услуг населению и близлежащим территориям;</w:t>
      </w:r>
    </w:p>
    <w:p w:rsidR="00673275" w:rsidRPr="009D5020" w:rsidRDefault="00673275" w:rsidP="009D5020">
      <w:pPr>
        <w:pStyle w:val="a3"/>
        <w:numPr>
          <w:ilvl w:val="0"/>
          <w:numId w:val="14"/>
        </w:numPr>
        <w:spacing w:after="120" w:line="240" w:lineRule="auto"/>
        <w:ind w:left="851" w:hanging="425"/>
        <w:jc w:val="both"/>
      </w:pPr>
      <w:proofErr w:type="gramStart"/>
      <w:r w:rsidRPr="009D5020">
        <w:t xml:space="preserve">На территории района существуют или будут созданы в ближайшем </w:t>
      </w:r>
      <w:proofErr w:type="spellStart"/>
      <w:r w:rsidRPr="009D5020">
        <w:t>будуем</w:t>
      </w:r>
      <w:proofErr w:type="spellEnd"/>
      <w:r w:rsidRPr="009D5020">
        <w:t xml:space="preserve"> предприятия, нуждающиеся в новых кадрах, по которым не ведется подготовка в ПОО, а так же предприятия, нуждающиеся в обновлении кадров, в их переподготовке и повышении квалификации;</w:t>
      </w:r>
      <w:proofErr w:type="gramEnd"/>
    </w:p>
    <w:p w:rsidR="00673275" w:rsidRPr="009D5020" w:rsidRDefault="00673275" w:rsidP="009D5020">
      <w:pPr>
        <w:pStyle w:val="a3"/>
        <w:numPr>
          <w:ilvl w:val="0"/>
          <w:numId w:val="14"/>
        </w:numPr>
        <w:spacing w:after="120" w:line="240" w:lineRule="auto"/>
        <w:ind w:left="851" w:hanging="425"/>
        <w:jc w:val="both"/>
      </w:pPr>
      <w:r w:rsidRPr="009D5020">
        <w:t>Основное препятствие ПОО в закреплении на территории района в качестве лидера на рынке образовательных услуг – ограниченный и достаточно узкий перечень образовательных программ, по которым ведется подготовка, не соответствующий широкой и разнообразной кадрово-профессиональной структуре экономике района. В связи с этим многие выпускники не могут устроиться работать по профессии. Необходимо расширение профиля оказываемых образовательных услуг, индивидуализация образовательных программ (в т.ч. краткосрочных) под конкретные нужды конкретных предприятий и даже граждан.</w:t>
      </w:r>
    </w:p>
    <w:p w:rsidR="00673275" w:rsidRPr="009D5020" w:rsidRDefault="00673275" w:rsidP="009D5020">
      <w:pPr>
        <w:pStyle w:val="a3"/>
        <w:numPr>
          <w:ilvl w:val="0"/>
          <w:numId w:val="14"/>
        </w:numPr>
        <w:spacing w:after="120" w:line="240" w:lineRule="auto"/>
        <w:ind w:left="851" w:hanging="425"/>
        <w:jc w:val="both"/>
      </w:pPr>
      <w:r w:rsidRPr="009D5020">
        <w:t>ПОО – потенциальный лидер на территории района, однако социально-экономическая характеристика территории позволяет выявить незанятые «ниши», на которые ПОО должна распространить своё влияние.</w:t>
      </w:r>
    </w:p>
    <w:p w:rsidR="00FA298A" w:rsidRPr="009D5020" w:rsidRDefault="00FA298A" w:rsidP="009D5020">
      <w:pPr>
        <w:spacing w:after="120" w:line="240" w:lineRule="auto"/>
        <w:ind w:left="851" w:hanging="425"/>
        <w:jc w:val="both"/>
        <w:rPr>
          <w:b/>
        </w:rPr>
      </w:pPr>
      <w:bookmarkStart w:id="4" w:name="_GoBack"/>
      <w:bookmarkEnd w:id="4"/>
    </w:p>
    <w:sectPr w:rsidR="00FA298A" w:rsidRPr="009D5020" w:rsidSect="00F8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0D"/>
    <w:multiLevelType w:val="hybridMultilevel"/>
    <w:tmpl w:val="662C0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481E0D"/>
    <w:multiLevelType w:val="hybridMultilevel"/>
    <w:tmpl w:val="9ACAA0D8"/>
    <w:lvl w:ilvl="0" w:tplc="B3984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823F72"/>
    <w:multiLevelType w:val="hybridMultilevel"/>
    <w:tmpl w:val="65ACE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B63110"/>
    <w:multiLevelType w:val="hybridMultilevel"/>
    <w:tmpl w:val="FC68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E7331"/>
    <w:multiLevelType w:val="hybridMultilevel"/>
    <w:tmpl w:val="F4E6A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D0358"/>
    <w:multiLevelType w:val="hybridMultilevel"/>
    <w:tmpl w:val="CD0A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934E9"/>
    <w:multiLevelType w:val="hybridMultilevel"/>
    <w:tmpl w:val="2390A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65CCA"/>
    <w:multiLevelType w:val="hybridMultilevel"/>
    <w:tmpl w:val="2EA25880"/>
    <w:lvl w:ilvl="0" w:tplc="B5DA12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344552"/>
    <w:multiLevelType w:val="hybridMultilevel"/>
    <w:tmpl w:val="D8501AA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604A29"/>
    <w:multiLevelType w:val="hybridMultilevel"/>
    <w:tmpl w:val="8B607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204582"/>
    <w:multiLevelType w:val="hybridMultilevel"/>
    <w:tmpl w:val="BC1E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5C3B88"/>
    <w:multiLevelType w:val="hybridMultilevel"/>
    <w:tmpl w:val="253E12A4"/>
    <w:lvl w:ilvl="0" w:tplc="EA288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A0C65CF"/>
    <w:multiLevelType w:val="hybridMultilevel"/>
    <w:tmpl w:val="2AF2F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292C9D"/>
    <w:multiLevelType w:val="hybridMultilevel"/>
    <w:tmpl w:val="9B28D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7"/>
  </w:num>
  <w:num w:numId="6">
    <w:abstractNumId w:val="11"/>
  </w:num>
  <w:num w:numId="7">
    <w:abstractNumId w:val="2"/>
  </w:num>
  <w:num w:numId="8">
    <w:abstractNumId w:val="13"/>
  </w:num>
  <w:num w:numId="9">
    <w:abstractNumId w:val="5"/>
  </w:num>
  <w:num w:numId="10">
    <w:abstractNumId w:val="6"/>
  </w:num>
  <w:num w:numId="11">
    <w:abstractNumId w:val="0"/>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E7EEF"/>
    <w:rsid w:val="00023EDA"/>
    <w:rsid w:val="0009550D"/>
    <w:rsid w:val="0012548F"/>
    <w:rsid w:val="00156F83"/>
    <w:rsid w:val="00195584"/>
    <w:rsid w:val="001E1180"/>
    <w:rsid w:val="00241619"/>
    <w:rsid w:val="002551A9"/>
    <w:rsid w:val="003330BA"/>
    <w:rsid w:val="003F175A"/>
    <w:rsid w:val="00401E20"/>
    <w:rsid w:val="004927BC"/>
    <w:rsid w:val="004A0A02"/>
    <w:rsid w:val="004A2DA3"/>
    <w:rsid w:val="00673275"/>
    <w:rsid w:val="006A48D1"/>
    <w:rsid w:val="006B767A"/>
    <w:rsid w:val="006C51D8"/>
    <w:rsid w:val="00713FFB"/>
    <w:rsid w:val="007232CD"/>
    <w:rsid w:val="00783F59"/>
    <w:rsid w:val="007C37E6"/>
    <w:rsid w:val="00817E9A"/>
    <w:rsid w:val="00885A64"/>
    <w:rsid w:val="008F20B9"/>
    <w:rsid w:val="008F5D78"/>
    <w:rsid w:val="00954D1D"/>
    <w:rsid w:val="009D5020"/>
    <w:rsid w:val="009F24E0"/>
    <w:rsid w:val="00A313A7"/>
    <w:rsid w:val="00A36568"/>
    <w:rsid w:val="00AE5D6B"/>
    <w:rsid w:val="00AE7EEF"/>
    <w:rsid w:val="00B00605"/>
    <w:rsid w:val="00B2031B"/>
    <w:rsid w:val="00BD47E5"/>
    <w:rsid w:val="00C452F7"/>
    <w:rsid w:val="00DE29B1"/>
    <w:rsid w:val="00E037CB"/>
    <w:rsid w:val="00EA7D66"/>
    <w:rsid w:val="00EE2E5D"/>
    <w:rsid w:val="00EF1F84"/>
    <w:rsid w:val="00F01574"/>
    <w:rsid w:val="00F8032D"/>
    <w:rsid w:val="00FA2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0D"/>
  </w:style>
  <w:style w:type="paragraph" w:styleId="1">
    <w:name w:val="heading 1"/>
    <w:basedOn w:val="a"/>
    <w:next w:val="a"/>
    <w:link w:val="10"/>
    <w:uiPriority w:val="9"/>
    <w:qFormat/>
    <w:rsid w:val="008F20B9"/>
    <w:pPr>
      <w:keepNext/>
      <w:keepLines/>
      <w:spacing w:before="480" w:after="480"/>
      <w:jc w:val="center"/>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D6B"/>
    <w:pPr>
      <w:ind w:left="720"/>
      <w:contextualSpacing/>
    </w:pPr>
  </w:style>
  <w:style w:type="character" w:styleId="a4">
    <w:name w:val="Hyperlink"/>
    <w:basedOn w:val="a0"/>
    <w:uiPriority w:val="99"/>
    <w:unhideWhenUsed/>
    <w:rsid w:val="003330BA"/>
    <w:rPr>
      <w:color w:val="0000FF" w:themeColor="hyperlink"/>
      <w:u w:val="single"/>
    </w:rPr>
  </w:style>
  <w:style w:type="table" w:styleId="a5">
    <w:name w:val="Table Grid"/>
    <w:basedOn w:val="a1"/>
    <w:uiPriority w:val="59"/>
    <w:rsid w:val="00B203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41619"/>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0"/>
    <w:link w:val="1"/>
    <w:uiPriority w:val="9"/>
    <w:rsid w:val="008F20B9"/>
    <w:rPr>
      <w:rFonts w:ascii="Times New Roman" w:eastAsiaTheme="majorEastAsia" w:hAnsi="Times New Roman" w:cstheme="majorBidi"/>
      <w:b/>
      <w:bCs/>
      <w:color w:val="000000" w:themeColor="text1"/>
      <w:sz w:val="28"/>
      <w:szCs w:val="28"/>
    </w:rPr>
  </w:style>
  <w:style w:type="paragraph" w:styleId="11">
    <w:name w:val="toc 1"/>
    <w:basedOn w:val="a"/>
    <w:next w:val="a"/>
    <w:autoRedefine/>
    <w:uiPriority w:val="39"/>
    <w:unhideWhenUsed/>
    <w:rsid w:val="008F20B9"/>
    <w:pPr>
      <w:spacing w:after="100"/>
    </w:pPr>
  </w:style>
  <w:style w:type="paragraph" w:styleId="a7">
    <w:name w:val="No Spacing"/>
    <w:uiPriority w:val="1"/>
    <w:qFormat/>
    <w:rsid w:val="0012548F"/>
    <w:pPr>
      <w:spacing w:after="0" w:line="240" w:lineRule="auto"/>
    </w:pPr>
    <w:rPr>
      <w:rFonts w:ascii="Calibri" w:eastAsia="Calibri" w:hAnsi="Calibri" w:cs="Times New Roman"/>
      <w:sz w:val="22"/>
      <w:lang w:eastAsia="en-US"/>
    </w:rPr>
  </w:style>
  <w:style w:type="paragraph" w:styleId="a8">
    <w:name w:val="TOC Heading"/>
    <w:basedOn w:val="1"/>
    <w:next w:val="a"/>
    <w:uiPriority w:val="39"/>
    <w:semiHidden/>
    <w:unhideWhenUsed/>
    <w:qFormat/>
    <w:rsid w:val="006B767A"/>
    <w:pPr>
      <w:spacing w:after="0"/>
      <w:jc w:val="left"/>
      <w:outlineLvl w:val="9"/>
    </w:pPr>
    <w:rPr>
      <w:rFonts w:asciiTheme="majorHAnsi" w:hAnsiTheme="majorHAnsi"/>
      <w:color w:val="365F91" w:themeColor="accent1" w:themeShade="BF"/>
      <w:lang w:eastAsia="en-US"/>
    </w:rPr>
  </w:style>
  <w:style w:type="paragraph" w:styleId="a9">
    <w:name w:val="Balloon Text"/>
    <w:basedOn w:val="a"/>
    <w:link w:val="aa"/>
    <w:uiPriority w:val="99"/>
    <w:semiHidden/>
    <w:unhideWhenUsed/>
    <w:rsid w:val="004A0A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0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921">
      <w:bodyDiv w:val="1"/>
      <w:marLeft w:val="0"/>
      <w:marRight w:val="0"/>
      <w:marTop w:val="0"/>
      <w:marBottom w:val="0"/>
      <w:divBdr>
        <w:top w:val="none" w:sz="0" w:space="0" w:color="auto"/>
        <w:left w:val="none" w:sz="0" w:space="0" w:color="auto"/>
        <w:bottom w:val="none" w:sz="0" w:space="0" w:color="auto"/>
        <w:right w:val="none" w:sz="0" w:space="0" w:color="auto"/>
      </w:divBdr>
    </w:div>
    <w:div w:id="263877849">
      <w:bodyDiv w:val="1"/>
      <w:marLeft w:val="0"/>
      <w:marRight w:val="0"/>
      <w:marTop w:val="0"/>
      <w:marBottom w:val="0"/>
      <w:divBdr>
        <w:top w:val="none" w:sz="0" w:space="0" w:color="auto"/>
        <w:left w:val="none" w:sz="0" w:space="0" w:color="auto"/>
        <w:bottom w:val="none" w:sz="0" w:space="0" w:color="auto"/>
        <w:right w:val="none" w:sz="0" w:space="0" w:color="auto"/>
      </w:divBdr>
    </w:div>
    <w:div w:id="264657085">
      <w:bodyDiv w:val="1"/>
      <w:marLeft w:val="0"/>
      <w:marRight w:val="0"/>
      <w:marTop w:val="0"/>
      <w:marBottom w:val="0"/>
      <w:divBdr>
        <w:top w:val="none" w:sz="0" w:space="0" w:color="auto"/>
        <w:left w:val="none" w:sz="0" w:space="0" w:color="auto"/>
        <w:bottom w:val="none" w:sz="0" w:space="0" w:color="auto"/>
        <w:right w:val="none" w:sz="0" w:space="0" w:color="auto"/>
      </w:divBdr>
    </w:div>
    <w:div w:id="815953717">
      <w:bodyDiv w:val="1"/>
      <w:marLeft w:val="0"/>
      <w:marRight w:val="0"/>
      <w:marTop w:val="0"/>
      <w:marBottom w:val="0"/>
      <w:divBdr>
        <w:top w:val="none" w:sz="0" w:space="0" w:color="auto"/>
        <w:left w:val="none" w:sz="0" w:space="0" w:color="auto"/>
        <w:bottom w:val="none" w:sz="0" w:space="0" w:color="auto"/>
        <w:right w:val="none" w:sz="0" w:space="0" w:color="auto"/>
      </w:divBdr>
    </w:div>
    <w:div w:id="1204908572">
      <w:bodyDiv w:val="1"/>
      <w:marLeft w:val="0"/>
      <w:marRight w:val="0"/>
      <w:marTop w:val="0"/>
      <w:marBottom w:val="0"/>
      <w:divBdr>
        <w:top w:val="none" w:sz="0" w:space="0" w:color="auto"/>
        <w:left w:val="none" w:sz="0" w:space="0" w:color="auto"/>
        <w:bottom w:val="none" w:sz="0" w:space="0" w:color="auto"/>
        <w:right w:val="none" w:sz="0" w:space="0" w:color="auto"/>
      </w:divBdr>
    </w:div>
    <w:div w:id="1596329838">
      <w:bodyDiv w:val="1"/>
      <w:marLeft w:val="0"/>
      <w:marRight w:val="0"/>
      <w:marTop w:val="0"/>
      <w:marBottom w:val="0"/>
      <w:divBdr>
        <w:top w:val="none" w:sz="0" w:space="0" w:color="auto"/>
        <w:left w:val="none" w:sz="0" w:space="0" w:color="auto"/>
        <w:bottom w:val="none" w:sz="0" w:space="0" w:color="auto"/>
        <w:right w:val="none" w:sz="0" w:space="0" w:color="auto"/>
      </w:divBdr>
    </w:div>
    <w:div w:id="1645621341">
      <w:bodyDiv w:val="1"/>
      <w:marLeft w:val="0"/>
      <w:marRight w:val="0"/>
      <w:marTop w:val="0"/>
      <w:marBottom w:val="0"/>
      <w:divBdr>
        <w:top w:val="none" w:sz="0" w:space="0" w:color="auto"/>
        <w:left w:val="none" w:sz="0" w:space="0" w:color="auto"/>
        <w:bottom w:val="none" w:sz="0" w:space="0" w:color="auto"/>
        <w:right w:val="none" w:sz="0" w:space="0" w:color="auto"/>
      </w:divBdr>
    </w:div>
    <w:div w:id="1658459631">
      <w:bodyDiv w:val="1"/>
      <w:marLeft w:val="0"/>
      <w:marRight w:val="0"/>
      <w:marTop w:val="0"/>
      <w:marBottom w:val="0"/>
      <w:divBdr>
        <w:top w:val="none" w:sz="0" w:space="0" w:color="auto"/>
        <w:left w:val="none" w:sz="0" w:space="0" w:color="auto"/>
        <w:bottom w:val="none" w:sz="0" w:space="0" w:color="auto"/>
        <w:right w:val="none" w:sz="0" w:space="0" w:color="auto"/>
      </w:divBdr>
    </w:div>
    <w:div w:id="1914121739">
      <w:bodyDiv w:val="1"/>
      <w:marLeft w:val="0"/>
      <w:marRight w:val="0"/>
      <w:marTop w:val="0"/>
      <w:marBottom w:val="0"/>
      <w:divBdr>
        <w:top w:val="none" w:sz="0" w:space="0" w:color="auto"/>
        <w:left w:val="none" w:sz="0" w:space="0" w:color="auto"/>
        <w:bottom w:val="none" w:sz="0" w:space="0" w:color="auto"/>
        <w:right w:val="none" w:sz="0" w:space="0" w:color="auto"/>
      </w:divBdr>
    </w:div>
    <w:div w:id="1980727106">
      <w:bodyDiv w:val="1"/>
      <w:marLeft w:val="0"/>
      <w:marRight w:val="0"/>
      <w:marTop w:val="0"/>
      <w:marBottom w:val="0"/>
      <w:divBdr>
        <w:top w:val="none" w:sz="0" w:space="0" w:color="auto"/>
        <w:left w:val="none" w:sz="0" w:space="0" w:color="auto"/>
        <w:bottom w:val="none" w:sz="0" w:space="0" w:color="auto"/>
        <w:right w:val="none" w:sz="0" w:space="0" w:color="auto"/>
      </w:divBdr>
    </w:div>
    <w:div w:id="20625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B0B0-ADFB-4F74-9ABC-82BD6750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jjozzz</dc:creator>
  <cp:keywords/>
  <dc:description/>
  <cp:lastModifiedBy>dns</cp:lastModifiedBy>
  <cp:revision>10</cp:revision>
  <dcterms:created xsi:type="dcterms:W3CDTF">2017-09-09T15:17:00Z</dcterms:created>
  <dcterms:modified xsi:type="dcterms:W3CDTF">2018-04-01T15:27:00Z</dcterms:modified>
</cp:coreProperties>
</file>